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A53" w:rsidRPr="008F2661" w:rsidRDefault="00461AD0">
      <w:pPr>
        <w:rPr>
          <w:rFonts w:ascii="Palatino Linotype" w:hAnsi="Palatino Linotype"/>
          <w:b/>
          <w:sz w:val="28"/>
          <w:szCs w:val="28"/>
        </w:rPr>
      </w:pPr>
      <w:r w:rsidRPr="008F2661">
        <w:rPr>
          <w:rFonts w:ascii="Palatino Linotype" w:hAnsi="Palatino Linotype"/>
          <w:b/>
          <w:sz w:val="28"/>
          <w:szCs w:val="28"/>
        </w:rPr>
        <w:t>Évaluation pronostic – diagnostic - inventaire</w:t>
      </w:r>
    </w:p>
    <w:p w:rsidR="002867F2" w:rsidRPr="00CC4A53" w:rsidRDefault="002867F2" w:rsidP="002867F2">
      <w:pPr>
        <w:numPr>
          <w:ilvl w:val="0"/>
          <w:numId w:val="1"/>
        </w:numPr>
        <w:spacing w:after="0" w:line="240" w:lineRule="auto"/>
        <w:rPr>
          <w:rFonts w:ascii="Palatino Linotype" w:hAnsi="Palatino Linotype"/>
          <w:b/>
        </w:rPr>
      </w:pPr>
      <w:r w:rsidRPr="00CC4A53">
        <w:rPr>
          <w:rFonts w:ascii="Palatino Linotype" w:hAnsi="Palatino Linotype"/>
          <w:b/>
        </w:rPr>
        <w:t>Le pronostic</w:t>
      </w:r>
    </w:p>
    <w:p w:rsidR="002867F2" w:rsidRPr="00CC4A53" w:rsidRDefault="002867F2" w:rsidP="002867F2">
      <w:pPr>
        <w:rPr>
          <w:rFonts w:ascii="Palatino Linotype" w:hAnsi="Palatino Linotype"/>
        </w:rPr>
      </w:pPr>
      <w:r w:rsidRPr="00CC4A53">
        <w:rPr>
          <w:rFonts w:ascii="Palatino Linotype" w:hAnsi="Palatino Linotype"/>
        </w:rPr>
        <w:t>L'évaluation pronostic cherche à faire connaître, aussi bien à l'enseignant qu'à l'élève le niveau réel du nouvel inscrit. On utilisera à cette fin ce que l'on appelle des tests de niveau.</w:t>
      </w:r>
    </w:p>
    <w:p w:rsidR="002867F2" w:rsidRPr="00CC4A53" w:rsidRDefault="002867F2" w:rsidP="002867F2">
      <w:pPr>
        <w:rPr>
          <w:rFonts w:ascii="Palatino Linotype" w:hAnsi="Palatino Linotype"/>
        </w:rPr>
      </w:pPr>
      <w:r w:rsidRPr="00CC4A53">
        <w:rPr>
          <w:rFonts w:ascii="Palatino Linotype" w:hAnsi="Palatino Linotype"/>
        </w:rPr>
        <w:t>Elle cherche aussi, à prédire le niveau de compétences qui pourra être atteint par l'élève, en fonction des objectifs poursuivis dans le futur cursus.</w:t>
      </w:r>
    </w:p>
    <w:p w:rsidR="002867F2" w:rsidRPr="00CC4A53" w:rsidRDefault="002867F2" w:rsidP="002867F2">
      <w:pPr>
        <w:rPr>
          <w:rFonts w:ascii="Palatino Linotype" w:hAnsi="Palatino Linotype"/>
        </w:rPr>
      </w:pPr>
      <w:r w:rsidRPr="00CC4A53">
        <w:rPr>
          <w:rFonts w:ascii="Palatino Linotype" w:hAnsi="Palatino Linotype"/>
        </w:rPr>
        <w:t>... sert à orienter l'élève, ainsi qu'à l'informer de sa situation de manière qu'il puisse prendre les décisions qui concernent son apprentissage.</w:t>
      </w:r>
    </w:p>
    <w:p w:rsidR="002867F2" w:rsidRPr="00CC4A53" w:rsidRDefault="002867F2" w:rsidP="002867F2">
      <w:pPr>
        <w:numPr>
          <w:ilvl w:val="0"/>
          <w:numId w:val="1"/>
        </w:numPr>
        <w:spacing w:after="0" w:line="240" w:lineRule="auto"/>
        <w:rPr>
          <w:rFonts w:ascii="Palatino Linotype" w:hAnsi="Palatino Linotype"/>
          <w:b/>
        </w:rPr>
      </w:pPr>
      <w:r w:rsidRPr="00CC4A53">
        <w:rPr>
          <w:rFonts w:ascii="Palatino Linotype" w:hAnsi="Palatino Linotype"/>
          <w:b/>
        </w:rPr>
        <w:t>Le diagnostic</w:t>
      </w:r>
    </w:p>
    <w:p w:rsidR="002867F2" w:rsidRPr="00CC4A53" w:rsidRDefault="002867F2" w:rsidP="002867F2">
      <w:pPr>
        <w:rPr>
          <w:rFonts w:ascii="Palatino Linotype" w:hAnsi="Palatino Linotype"/>
        </w:rPr>
      </w:pPr>
      <w:r w:rsidRPr="00CC4A53">
        <w:rPr>
          <w:rFonts w:ascii="Palatino Linotype" w:hAnsi="Palatino Linotype"/>
        </w:rPr>
        <w:t>sert à réguler. Intervient après l'évaluation pronostique, tout au long du cursus de formation. Son rôle principal est d'analyser l'état d'un individu, à un moment x, afin de porter un jugement sur cet état et de pouvoir ainsi, si besoin est, chercher les moyens d'y remédier.</w:t>
      </w:r>
    </w:p>
    <w:p w:rsidR="002867F2" w:rsidRPr="00CC4A53" w:rsidRDefault="002867F2" w:rsidP="002867F2">
      <w:pPr>
        <w:rPr>
          <w:rFonts w:ascii="Palatino Linotype" w:hAnsi="Palatino Linotype"/>
        </w:rPr>
      </w:pPr>
      <w:r w:rsidRPr="00CC4A53">
        <w:rPr>
          <w:rFonts w:ascii="Palatino Linotype" w:hAnsi="Palatino Linotype"/>
        </w:rPr>
        <w:t>Cette évaluation permettra à chacun de vérifier si les objectifs que l'élève devrait maîtriser sont atteints. Elle servira de point de départ à l'enseignant pour réguler son enseignement : revenir en arrière, creuser, approfondir, changer de tactique, ...</w:t>
      </w:r>
    </w:p>
    <w:p w:rsidR="002867F2" w:rsidRPr="00CC4A53" w:rsidRDefault="002867F2" w:rsidP="002867F2">
      <w:pPr>
        <w:numPr>
          <w:ilvl w:val="0"/>
          <w:numId w:val="1"/>
        </w:numPr>
        <w:spacing w:after="0" w:line="240" w:lineRule="auto"/>
        <w:rPr>
          <w:rFonts w:ascii="Palatino Linotype" w:hAnsi="Palatino Linotype"/>
          <w:b/>
        </w:rPr>
      </w:pPr>
      <w:r w:rsidRPr="00CC4A53">
        <w:rPr>
          <w:rFonts w:ascii="Palatino Linotype" w:hAnsi="Palatino Linotype"/>
          <w:b/>
        </w:rPr>
        <w:t>L'inventaire</w:t>
      </w:r>
    </w:p>
    <w:p w:rsidR="00F61DA2" w:rsidRDefault="002867F2" w:rsidP="002867F2">
      <w:pPr>
        <w:rPr>
          <w:rFonts w:ascii="Palatino Linotype" w:hAnsi="Palatino Linotype"/>
        </w:rPr>
      </w:pPr>
      <w:r w:rsidRPr="00CC4A53">
        <w:rPr>
          <w:rFonts w:ascii="Palatino Linotype" w:hAnsi="Palatino Linotype"/>
        </w:rPr>
        <w:t xml:space="preserve">sert à certifier. C'est une évaluation bilan, qui teste des connaissances de fin de cursus d'apprentissage. Son rôle est de certifier qu'un certain niveau est atteint. </w:t>
      </w:r>
    </w:p>
    <w:p w:rsidR="002867F2" w:rsidRPr="00CC4A53" w:rsidRDefault="002867F2" w:rsidP="002867F2">
      <w:pPr>
        <w:rPr>
          <w:rFonts w:ascii="Palatino Linotype" w:hAnsi="Palatino Linotype"/>
        </w:rPr>
      </w:pPr>
      <w:r w:rsidRPr="00CC4A53">
        <w:rPr>
          <w:rFonts w:ascii="Palatino Linotype" w:hAnsi="Palatino Linotype"/>
        </w:rPr>
        <w:t>(d'après Tagliante, 1991 : 14-18</w:t>
      </w:r>
      <w:r w:rsidR="00F61DA2">
        <w:rPr>
          <w:rFonts w:ascii="Palatino Linotype" w:hAnsi="Palatino Linotype"/>
        </w:rPr>
        <w:t>, Huver-Springer, 2011</w:t>
      </w:r>
      <w:r w:rsidRPr="00CC4A53">
        <w:rPr>
          <w:rFonts w:ascii="Palatino Linotype" w:hAnsi="Palatino Linotype"/>
        </w:rPr>
        <w:t>)</w:t>
      </w:r>
    </w:p>
    <w:p w:rsidR="00EC0499" w:rsidRPr="008F2661" w:rsidRDefault="00461AD0" w:rsidP="002867F2">
      <w:pPr>
        <w:rPr>
          <w:rFonts w:ascii="Palatino Linotype" w:hAnsi="Palatino Linotype"/>
          <w:b/>
          <w:sz w:val="28"/>
          <w:szCs w:val="28"/>
        </w:rPr>
      </w:pPr>
      <w:r w:rsidRPr="008F2661">
        <w:rPr>
          <w:rFonts w:ascii="Palatino Linotype" w:hAnsi="Palatino Linotype"/>
          <w:b/>
          <w:sz w:val="28"/>
          <w:szCs w:val="28"/>
        </w:rPr>
        <w:t>Évaluation  sommative - formative</w:t>
      </w:r>
    </w:p>
    <w:p w:rsidR="00EC0499" w:rsidRPr="00461AD0" w:rsidRDefault="00EC0499" w:rsidP="00EC0499">
      <w:pPr>
        <w:numPr>
          <w:ilvl w:val="0"/>
          <w:numId w:val="3"/>
        </w:numPr>
        <w:spacing w:after="0" w:line="240" w:lineRule="auto"/>
        <w:rPr>
          <w:rFonts w:ascii="Palatino Linotype" w:hAnsi="Palatino Linotype"/>
        </w:rPr>
      </w:pPr>
      <w:r w:rsidRPr="00461AD0">
        <w:rPr>
          <w:rFonts w:ascii="Palatino Linotype" w:hAnsi="Palatino Linotype"/>
        </w:rPr>
        <w:t xml:space="preserve">L'évaluation </w:t>
      </w:r>
      <w:r w:rsidRPr="00461AD0">
        <w:rPr>
          <w:rFonts w:ascii="Palatino Linotype" w:hAnsi="Palatino Linotype"/>
          <w:b/>
        </w:rPr>
        <w:t>sommative</w:t>
      </w:r>
      <w:r w:rsidRPr="00461AD0">
        <w:rPr>
          <w:rFonts w:ascii="Palatino Linotype" w:hAnsi="Palatino Linotype"/>
        </w:rPr>
        <w:t xml:space="preserve"> – démarche visant à porter un jugement sur le degré de maîtrise des apprentissages à la fin d'un cours, d'un cycle, d'un programme dans un but de classification, d'évaluation du progrès ou dans l'intention de vérifier l'efficacité d'un programme ou d'un cours. Elle a une portée externe, orientée vers la société, lorsqu'elle sert à prendre des décisions relatives à la sanction d'études. Elle a une portée interne lorsqu'elle est orientée vers un cheminement dans le système scolaire, la prise de décisions relatives au passage à la classe supérieure et l'orientation des élèves à moyen terme. </w:t>
      </w:r>
    </w:p>
    <w:p w:rsidR="00EC0499" w:rsidRDefault="00EC0499" w:rsidP="008F2661">
      <w:pPr>
        <w:spacing w:after="0" w:line="240" w:lineRule="auto"/>
        <w:ind w:left="360"/>
        <w:rPr>
          <w:rFonts w:ascii="Palatino Linotype" w:hAnsi="Palatino Linotype"/>
        </w:rPr>
      </w:pPr>
      <w:r w:rsidRPr="00CC4A53">
        <w:rPr>
          <w:rFonts w:ascii="Palatino Linotype" w:hAnsi="Palatino Linotype"/>
        </w:rPr>
        <w:t xml:space="preserve">…s'opère en fin de formation et a pour fonction essentielle le classement des élèves les uns par rapport aux autres. Elle évalue un ensemble de paramètres désignes dans le programme d'enseignement </w:t>
      </w:r>
    </w:p>
    <w:p w:rsidR="008F2661" w:rsidRPr="00CC4A53" w:rsidRDefault="008F2661" w:rsidP="008F2661">
      <w:pPr>
        <w:spacing w:after="0" w:line="240" w:lineRule="auto"/>
        <w:ind w:left="360"/>
        <w:rPr>
          <w:rFonts w:ascii="Palatino Linotype" w:hAnsi="Palatino Linotype"/>
        </w:rPr>
      </w:pPr>
    </w:p>
    <w:p w:rsidR="00461AD0" w:rsidRDefault="00EC0499" w:rsidP="00EC0499">
      <w:pPr>
        <w:numPr>
          <w:ilvl w:val="0"/>
          <w:numId w:val="3"/>
        </w:numPr>
        <w:spacing w:after="0" w:line="240" w:lineRule="auto"/>
        <w:rPr>
          <w:rFonts w:ascii="Palatino Linotype" w:hAnsi="Palatino Linotype"/>
        </w:rPr>
      </w:pPr>
      <w:r w:rsidRPr="00461AD0">
        <w:rPr>
          <w:rFonts w:ascii="Palatino Linotype" w:hAnsi="Palatino Linotype"/>
        </w:rPr>
        <w:t xml:space="preserve">L'évaluation </w:t>
      </w:r>
      <w:r w:rsidRPr="00461AD0">
        <w:rPr>
          <w:rFonts w:ascii="Palatino Linotype" w:hAnsi="Palatino Linotype"/>
          <w:b/>
        </w:rPr>
        <w:t>formative</w:t>
      </w:r>
      <w:r w:rsidRPr="00461AD0">
        <w:rPr>
          <w:rFonts w:ascii="Palatino Linotype" w:hAnsi="Palatino Linotype"/>
        </w:rPr>
        <w:t xml:space="preserve"> est un processus d'évaluation continue visant à guider l'élève dans son travail scolaire, à situer ses difficultés pour l'aider. Elle est orientée vers une aide pédagogique immédiate auprès l'élève et est liée au jugement continu pour apporter une rétroaction et un enseignement correctif efficace. De point de vue cognitif, elle doit donner le moyen de faire évoluer les représentations de l'élève, de construire ses connaissances, de vérifier pas à pas ce montage pour l'aider à optimaliser ses stratégies d'apprentissage. On lui associe trois nouveau noms: év.-formatrice, centrée sur celui qui est en formation, év.-réajustement, visant à limiter l'écart entre un référentiel et un </w:t>
      </w:r>
      <w:r w:rsidRPr="00461AD0">
        <w:rPr>
          <w:rFonts w:ascii="Palatino Linotype" w:hAnsi="Palatino Linotype"/>
        </w:rPr>
        <w:lastRenderedPageBreak/>
        <w:t xml:space="preserve">comportement et év.-régulation pour donner un sens aux évaluations en lien avec leur référentiel. </w:t>
      </w:r>
    </w:p>
    <w:p w:rsidR="00EC0499" w:rsidRPr="00461AD0" w:rsidRDefault="00EC0499" w:rsidP="008F2661">
      <w:pPr>
        <w:spacing w:after="0" w:line="240" w:lineRule="auto"/>
        <w:ind w:left="360"/>
        <w:rPr>
          <w:rFonts w:ascii="Palatino Linotype" w:hAnsi="Palatino Linotype"/>
        </w:rPr>
      </w:pPr>
      <w:r w:rsidRPr="00461AD0">
        <w:rPr>
          <w:rFonts w:ascii="Palatino Linotype" w:hAnsi="Palatino Linotype"/>
        </w:rPr>
        <w:t>… s'opère pendant la formation et sert à donner de l'information sur l'état des performances et sur la réussite de l'enseignement.</w:t>
      </w:r>
    </w:p>
    <w:p w:rsidR="00461AD0" w:rsidRPr="00CC4A53" w:rsidRDefault="008F2661" w:rsidP="008F2661">
      <w:pPr>
        <w:spacing w:after="0" w:line="240" w:lineRule="auto"/>
        <w:rPr>
          <w:rFonts w:ascii="Palatino Linotype" w:hAnsi="Palatino Linotype"/>
        </w:rPr>
      </w:pPr>
      <w:r>
        <w:rPr>
          <w:rFonts w:ascii="Palatino Linotype" w:hAnsi="Palatino Linotype"/>
        </w:rPr>
        <w:t>(</w:t>
      </w:r>
      <w:r w:rsidR="00461AD0" w:rsidRPr="00CC4A53">
        <w:rPr>
          <w:rFonts w:ascii="Palatino Linotype" w:hAnsi="Palatino Linotype"/>
        </w:rPr>
        <w:t>d'après Cuq</w:t>
      </w:r>
      <w:r>
        <w:rPr>
          <w:rFonts w:ascii="Palatino Linotype" w:hAnsi="Palatino Linotype"/>
        </w:rPr>
        <w:t xml:space="preserve"> /éd./</w:t>
      </w:r>
      <w:r w:rsidR="00461AD0" w:rsidRPr="00CC4A53">
        <w:rPr>
          <w:rFonts w:ascii="Palatino Linotype" w:hAnsi="Palatino Linotype"/>
        </w:rPr>
        <w:t>, Dictionnaire</w:t>
      </w:r>
      <w:r>
        <w:rPr>
          <w:rFonts w:ascii="Palatino Linotype" w:hAnsi="Palatino Linotype"/>
        </w:rPr>
        <w:t xml:space="preserve"> de français LE et seconde, 2003</w:t>
      </w:r>
      <w:r w:rsidR="00461AD0" w:rsidRPr="00CC4A53">
        <w:rPr>
          <w:rFonts w:ascii="Palatino Linotype" w:hAnsi="Palatino Linotype"/>
        </w:rPr>
        <w:t xml:space="preserve"> : 90-91</w:t>
      </w:r>
      <w:r w:rsidR="00461AD0">
        <w:rPr>
          <w:rFonts w:ascii="Palatino Linotype" w:hAnsi="Palatino Linotype"/>
        </w:rPr>
        <w:t xml:space="preserve">, </w:t>
      </w:r>
      <w:r>
        <w:rPr>
          <w:rFonts w:ascii="Palatino Linotype" w:hAnsi="Palatino Linotype"/>
        </w:rPr>
        <w:t>Tagliante, 2005 : 190</w:t>
      </w:r>
      <w:r w:rsidR="00461AD0" w:rsidRPr="00CC4A53">
        <w:rPr>
          <w:rFonts w:ascii="Palatino Linotype" w:hAnsi="Palatino Linotype"/>
        </w:rPr>
        <w:t>)</w:t>
      </w:r>
    </w:p>
    <w:p w:rsidR="00EC0499" w:rsidRPr="00CC4A53" w:rsidRDefault="00EC0499" w:rsidP="00EC0499">
      <w:pPr>
        <w:rPr>
          <w:rFonts w:ascii="Palatino Linotype" w:hAnsi="Palatino Linotype"/>
        </w:rPr>
      </w:pPr>
    </w:p>
    <w:p w:rsidR="00461AD0" w:rsidRPr="008F2661" w:rsidRDefault="00461AD0" w:rsidP="00461AD0">
      <w:pPr>
        <w:rPr>
          <w:rFonts w:ascii="Palatino Linotype" w:hAnsi="Palatino Linotype"/>
          <w:b/>
          <w:sz w:val="28"/>
          <w:szCs w:val="28"/>
        </w:rPr>
      </w:pPr>
      <w:r w:rsidRPr="008F2661">
        <w:rPr>
          <w:rFonts w:ascii="Palatino Linotype" w:hAnsi="Palatino Linotype"/>
          <w:b/>
          <w:sz w:val="28"/>
          <w:szCs w:val="28"/>
        </w:rPr>
        <w:t>Paradigme mécaniciste (contrôle) – paradigme holistique (évaluation)</w:t>
      </w:r>
    </w:p>
    <w:tbl>
      <w:tblPr>
        <w:tblStyle w:val="Tabelamrea"/>
        <w:tblW w:w="0" w:type="auto"/>
        <w:tblLook w:val="04A0" w:firstRow="1" w:lastRow="0" w:firstColumn="1" w:lastColumn="0" w:noHBand="0" w:noVBand="1"/>
      </w:tblPr>
      <w:tblGrid>
        <w:gridCol w:w="4531"/>
        <w:gridCol w:w="4531"/>
      </w:tblGrid>
      <w:tr w:rsidR="00461AD0" w:rsidRPr="008F2661" w:rsidTr="00500B64">
        <w:tc>
          <w:tcPr>
            <w:tcW w:w="4531" w:type="dxa"/>
          </w:tcPr>
          <w:p w:rsidR="00461AD0" w:rsidRPr="008F2661" w:rsidRDefault="00461AD0" w:rsidP="00500B64">
            <w:pPr>
              <w:rPr>
                <w:rFonts w:ascii="Palatino Linotype" w:hAnsi="Palatino Linotype"/>
                <w:b/>
              </w:rPr>
            </w:pPr>
            <w:r w:rsidRPr="008F2661">
              <w:rPr>
                <w:rFonts w:ascii="Palatino Linotype" w:hAnsi="Palatino Linotype"/>
                <w:b/>
              </w:rPr>
              <w:t>CONTRÔLE (paradigme mécaniciste)</w:t>
            </w:r>
          </w:p>
        </w:tc>
        <w:tc>
          <w:tcPr>
            <w:tcW w:w="4531" w:type="dxa"/>
          </w:tcPr>
          <w:p w:rsidR="00461AD0" w:rsidRPr="008F2661" w:rsidRDefault="00461AD0" w:rsidP="00500B64">
            <w:pPr>
              <w:rPr>
                <w:rFonts w:ascii="Palatino Linotype" w:hAnsi="Palatino Linotype"/>
                <w:b/>
              </w:rPr>
            </w:pPr>
            <w:r w:rsidRPr="008F2661">
              <w:rPr>
                <w:rFonts w:ascii="Palatino Linotype" w:hAnsi="Palatino Linotype"/>
                <w:b/>
              </w:rPr>
              <w:t>ÉVALUATION (paradigme holistique)</w:t>
            </w:r>
          </w:p>
        </w:tc>
      </w:tr>
      <w:tr w:rsidR="00461AD0" w:rsidTr="00500B64">
        <w:tc>
          <w:tcPr>
            <w:tcW w:w="9062" w:type="dxa"/>
            <w:gridSpan w:val="2"/>
          </w:tcPr>
          <w:p w:rsidR="00461AD0" w:rsidRPr="00DD630A" w:rsidRDefault="00461AD0" w:rsidP="00500B64">
            <w:pPr>
              <w:jc w:val="center"/>
              <w:rPr>
                <w:rFonts w:ascii="Palatino Linotype" w:hAnsi="Palatino Linotype"/>
                <w:b/>
              </w:rPr>
            </w:pPr>
            <w:r w:rsidRPr="00DD630A">
              <w:rPr>
                <w:rFonts w:ascii="Palatino Linotype" w:hAnsi="Palatino Linotype"/>
                <w:b/>
              </w:rPr>
              <w:t>Les caractéristiques</w:t>
            </w:r>
          </w:p>
        </w:tc>
      </w:tr>
      <w:tr w:rsidR="00461AD0" w:rsidTr="00500B64">
        <w:tc>
          <w:tcPr>
            <w:tcW w:w="4531" w:type="dxa"/>
          </w:tcPr>
          <w:p w:rsidR="00461AD0" w:rsidRDefault="00461AD0" w:rsidP="00500B64">
            <w:pPr>
              <w:rPr>
                <w:rFonts w:ascii="Palatino Linotype" w:hAnsi="Palatino Linotype"/>
              </w:rPr>
            </w:pPr>
            <w:r>
              <w:rPr>
                <w:rFonts w:ascii="Palatino Linotype" w:hAnsi="Palatino Linotype"/>
              </w:rPr>
              <w:t>Hors du temps (le modèle de référence est extérieur et antérieur au contrôle).</w:t>
            </w:r>
          </w:p>
          <w:p w:rsidR="00461AD0" w:rsidRDefault="00461AD0" w:rsidP="00500B64">
            <w:pPr>
              <w:rPr>
                <w:rFonts w:ascii="Palatino Linotype" w:hAnsi="Palatino Linotype"/>
              </w:rPr>
            </w:pPr>
            <w:r>
              <w:rPr>
                <w:rFonts w:ascii="Palatino Linotype" w:hAnsi="Palatino Linotype"/>
              </w:rPr>
              <w:t>Procédure finie (logique du bilan)</w:t>
            </w:r>
          </w:p>
          <w:p w:rsidR="00461AD0" w:rsidRDefault="00461AD0" w:rsidP="00500B64">
            <w:pPr>
              <w:rPr>
                <w:rFonts w:ascii="Palatino Linotype" w:hAnsi="Palatino Linotype"/>
              </w:rPr>
            </w:pPr>
            <w:r>
              <w:rPr>
                <w:rFonts w:ascii="Palatino Linotype" w:hAnsi="Palatino Linotype"/>
              </w:rPr>
              <w:t>Sommet vs base, contrôleur vs contrôlé : hierarchie et pouvoir.</w:t>
            </w:r>
          </w:p>
        </w:tc>
        <w:tc>
          <w:tcPr>
            <w:tcW w:w="4531" w:type="dxa"/>
          </w:tcPr>
          <w:p w:rsidR="00461AD0" w:rsidRDefault="00461AD0" w:rsidP="00500B64">
            <w:pPr>
              <w:rPr>
                <w:rFonts w:ascii="Palatino Linotype" w:hAnsi="Palatino Linotype"/>
              </w:rPr>
            </w:pPr>
            <w:r>
              <w:rPr>
                <w:rFonts w:ascii="Palatino Linotype" w:hAnsi="Palatino Linotype"/>
              </w:rPr>
              <w:t>Inscrit dans une durée : prise en compte de la temporalité du processus d'apprentissage.</w:t>
            </w:r>
          </w:p>
          <w:p w:rsidR="00461AD0" w:rsidRDefault="00461AD0" w:rsidP="00500B64">
            <w:pPr>
              <w:rPr>
                <w:rFonts w:ascii="Palatino Linotype" w:hAnsi="Palatino Linotype"/>
              </w:rPr>
            </w:pPr>
            <w:r>
              <w:rPr>
                <w:rFonts w:ascii="Palatino Linotype" w:hAnsi="Palatino Linotype"/>
              </w:rPr>
              <w:t>Processus infini.</w:t>
            </w:r>
          </w:p>
          <w:p w:rsidR="00461AD0" w:rsidRDefault="00461AD0" w:rsidP="00500B64">
            <w:pPr>
              <w:rPr>
                <w:rFonts w:ascii="Palatino Linotype" w:hAnsi="Palatino Linotype"/>
              </w:rPr>
            </w:pPr>
            <w:r>
              <w:rPr>
                <w:rFonts w:ascii="Palatino Linotype" w:hAnsi="Palatino Linotype"/>
              </w:rPr>
              <w:t>Dialogue, partenariat.</w:t>
            </w:r>
          </w:p>
        </w:tc>
      </w:tr>
      <w:tr w:rsidR="00461AD0" w:rsidTr="00500B64">
        <w:tc>
          <w:tcPr>
            <w:tcW w:w="9062" w:type="dxa"/>
            <w:gridSpan w:val="2"/>
          </w:tcPr>
          <w:p w:rsidR="00461AD0" w:rsidRPr="00DD630A" w:rsidRDefault="00461AD0" w:rsidP="00500B64">
            <w:pPr>
              <w:jc w:val="center"/>
              <w:rPr>
                <w:rFonts w:ascii="Palatino Linotype" w:hAnsi="Palatino Linotype"/>
                <w:b/>
              </w:rPr>
            </w:pPr>
            <w:r w:rsidRPr="00DD630A">
              <w:rPr>
                <w:rFonts w:ascii="Palatino Linotype" w:hAnsi="Palatino Linotype"/>
                <w:b/>
              </w:rPr>
              <w:t>Les contenus</w:t>
            </w:r>
          </w:p>
        </w:tc>
      </w:tr>
      <w:tr w:rsidR="00461AD0" w:rsidTr="00500B64">
        <w:tc>
          <w:tcPr>
            <w:tcW w:w="4531" w:type="dxa"/>
          </w:tcPr>
          <w:p w:rsidR="00461AD0" w:rsidRDefault="00461AD0" w:rsidP="00500B64">
            <w:pPr>
              <w:rPr>
                <w:rFonts w:ascii="Palatino Linotype" w:hAnsi="Palatino Linotype"/>
              </w:rPr>
            </w:pPr>
            <w:r>
              <w:rPr>
                <w:rFonts w:ascii="Palatino Linotype" w:hAnsi="Palatino Linotype"/>
              </w:rPr>
              <w:t>Portent sur des savoirs, des connaissances.</w:t>
            </w:r>
          </w:p>
          <w:p w:rsidR="00461AD0" w:rsidRDefault="00461AD0" w:rsidP="00500B64">
            <w:pPr>
              <w:rPr>
                <w:rFonts w:ascii="Palatino Linotype" w:hAnsi="Palatino Linotype"/>
              </w:rPr>
            </w:pPr>
            <w:r>
              <w:rPr>
                <w:rFonts w:ascii="Palatino Linotype" w:hAnsi="Palatino Linotype"/>
              </w:rPr>
              <w:t>Portent sur des tâches élémentaires donc portent sur les apprentissages.</w:t>
            </w:r>
          </w:p>
        </w:tc>
        <w:tc>
          <w:tcPr>
            <w:tcW w:w="4531" w:type="dxa"/>
          </w:tcPr>
          <w:p w:rsidR="00461AD0" w:rsidRDefault="00461AD0" w:rsidP="00500B64">
            <w:pPr>
              <w:rPr>
                <w:rFonts w:ascii="Palatino Linotype" w:hAnsi="Palatino Linotype"/>
              </w:rPr>
            </w:pPr>
            <w:r>
              <w:rPr>
                <w:rFonts w:ascii="Palatino Linotype" w:hAnsi="Palatino Linotype"/>
              </w:rPr>
              <w:t>Portent sur des compétences, des savoir-faire. Portent sur des tâches complexes, donc portent sur les acquisitions.</w:t>
            </w:r>
          </w:p>
        </w:tc>
      </w:tr>
      <w:tr w:rsidR="00461AD0" w:rsidTr="00500B64">
        <w:tc>
          <w:tcPr>
            <w:tcW w:w="9062" w:type="dxa"/>
            <w:gridSpan w:val="2"/>
          </w:tcPr>
          <w:p w:rsidR="00461AD0" w:rsidRPr="00DD630A" w:rsidRDefault="00461AD0" w:rsidP="00500B64">
            <w:pPr>
              <w:jc w:val="center"/>
              <w:rPr>
                <w:rFonts w:ascii="Palatino Linotype" w:hAnsi="Palatino Linotype"/>
                <w:b/>
              </w:rPr>
            </w:pPr>
            <w:r w:rsidRPr="00DD630A">
              <w:rPr>
                <w:rFonts w:ascii="Palatino Linotype" w:hAnsi="Palatino Linotype"/>
                <w:b/>
              </w:rPr>
              <w:t>Les acteurs</w:t>
            </w:r>
          </w:p>
        </w:tc>
      </w:tr>
      <w:tr w:rsidR="00461AD0" w:rsidTr="00500B64">
        <w:tc>
          <w:tcPr>
            <w:tcW w:w="4531" w:type="dxa"/>
          </w:tcPr>
          <w:p w:rsidR="00461AD0" w:rsidRDefault="00461AD0" w:rsidP="00500B64">
            <w:pPr>
              <w:rPr>
                <w:rFonts w:ascii="Palatino Linotype" w:hAnsi="Palatino Linotype"/>
              </w:rPr>
            </w:pPr>
            <w:r>
              <w:rPr>
                <w:rFonts w:ascii="Palatino Linotype" w:hAnsi="Palatino Linotype"/>
              </w:rPr>
              <w:t>Contrôleur : objectivité – l'expert</w:t>
            </w:r>
          </w:p>
          <w:p w:rsidR="00461AD0" w:rsidRDefault="00461AD0" w:rsidP="00500B64">
            <w:pPr>
              <w:rPr>
                <w:rFonts w:ascii="Palatino Linotype" w:hAnsi="Palatino Linotype"/>
              </w:rPr>
            </w:pPr>
            <w:r>
              <w:rPr>
                <w:rFonts w:ascii="Palatino Linotype" w:hAnsi="Palatino Linotype"/>
              </w:rPr>
              <w:t>Idéal d'interchangeabilité.</w:t>
            </w:r>
          </w:p>
          <w:p w:rsidR="00461AD0" w:rsidRDefault="00461AD0" w:rsidP="00500B64">
            <w:pPr>
              <w:rPr>
                <w:rFonts w:ascii="Palatino Linotype" w:hAnsi="Palatino Linotype"/>
              </w:rPr>
            </w:pPr>
            <w:r>
              <w:rPr>
                <w:rFonts w:ascii="Palatino Linotype" w:hAnsi="Palatino Linotype"/>
              </w:rPr>
              <w:t>Doivent toujours aboutir au même résultat (procédure indéfiniment répétable).</w:t>
            </w:r>
          </w:p>
        </w:tc>
        <w:tc>
          <w:tcPr>
            <w:tcW w:w="4531" w:type="dxa"/>
          </w:tcPr>
          <w:p w:rsidR="00461AD0" w:rsidRDefault="00461AD0" w:rsidP="00500B64">
            <w:pPr>
              <w:rPr>
                <w:rFonts w:ascii="Palatino Linotype" w:hAnsi="Palatino Linotype"/>
              </w:rPr>
            </w:pPr>
            <w:r>
              <w:rPr>
                <w:rFonts w:ascii="Palatino Linotype" w:hAnsi="Palatino Linotype"/>
              </w:rPr>
              <w:t>Évaluateur : subjectivité – l'artisan</w:t>
            </w:r>
          </w:p>
          <w:p w:rsidR="00461AD0" w:rsidRDefault="00461AD0" w:rsidP="00500B64">
            <w:pPr>
              <w:rPr>
                <w:rFonts w:ascii="Palatino Linotype" w:hAnsi="Palatino Linotype"/>
              </w:rPr>
            </w:pPr>
            <w:r>
              <w:rPr>
                <w:rFonts w:ascii="Palatino Linotype" w:hAnsi="Palatino Linotype"/>
              </w:rPr>
              <w:t>Nécessaire à l'évaluation.</w:t>
            </w:r>
          </w:p>
          <w:p w:rsidR="00461AD0" w:rsidRDefault="00461AD0" w:rsidP="00500B64">
            <w:pPr>
              <w:rPr>
                <w:rFonts w:ascii="Palatino Linotype" w:hAnsi="Palatino Linotype"/>
              </w:rPr>
            </w:pPr>
            <w:r>
              <w:rPr>
                <w:rFonts w:ascii="Palatino Linotype" w:hAnsi="Palatino Linotype"/>
              </w:rPr>
              <w:t>N'ont pas de caractère universel.</w:t>
            </w:r>
          </w:p>
          <w:p w:rsidR="00461AD0" w:rsidRDefault="00461AD0" w:rsidP="00500B64">
            <w:pPr>
              <w:rPr>
                <w:rFonts w:ascii="Palatino Linotype" w:hAnsi="Palatino Linotype"/>
              </w:rPr>
            </w:pPr>
            <w:r>
              <w:rPr>
                <w:rFonts w:ascii="Palatino Linotype" w:hAnsi="Palatino Linotype"/>
              </w:rPr>
              <w:t>Évaluation propre à un sujet.</w:t>
            </w:r>
          </w:p>
        </w:tc>
      </w:tr>
      <w:tr w:rsidR="00461AD0" w:rsidTr="00500B64">
        <w:tc>
          <w:tcPr>
            <w:tcW w:w="9062" w:type="dxa"/>
            <w:gridSpan w:val="2"/>
          </w:tcPr>
          <w:p w:rsidR="00461AD0" w:rsidRPr="00DD630A" w:rsidRDefault="00461AD0" w:rsidP="00500B64">
            <w:pPr>
              <w:jc w:val="center"/>
              <w:rPr>
                <w:rFonts w:ascii="Palatino Linotype" w:hAnsi="Palatino Linotype"/>
                <w:b/>
              </w:rPr>
            </w:pPr>
            <w:r w:rsidRPr="00DD630A">
              <w:rPr>
                <w:rFonts w:ascii="Palatino Linotype" w:hAnsi="Palatino Linotype"/>
                <w:b/>
              </w:rPr>
              <w:t>But</w:t>
            </w:r>
          </w:p>
        </w:tc>
      </w:tr>
      <w:tr w:rsidR="00461AD0" w:rsidTr="00500B64">
        <w:tc>
          <w:tcPr>
            <w:tcW w:w="4531" w:type="dxa"/>
          </w:tcPr>
          <w:p w:rsidR="00461AD0" w:rsidRDefault="00461AD0" w:rsidP="00500B64">
            <w:pPr>
              <w:rPr>
                <w:rFonts w:ascii="Palatino Linotype" w:hAnsi="Palatino Linotype"/>
              </w:rPr>
            </w:pPr>
            <w:r>
              <w:rPr>
                <w:rFonts w:ascii="Palatino Linotype" w:hAnsi="Palatino Linotype"/>
              </w:rPr>
              <w:t>Éviter les dysfoncionnements ultérieurs par application des sanctions.</w:t>
            </w:r>
          </w:p>
        </w:tc>
        <w:tc>
          <w:tcPr>
            <w:tcW w:w="4531" w:type="dxa"/>
          </w:tcPr>
          <w:p w:rsidR="00461AD0" w:rsidRDefault="00461AD0" w:rsidP="00500B64">
            <w:pPr>
              <w:rPr>
                <w:rFonts w:ascii="Palatino Linotype" w:hAnsi="Palatino Linotype"/>
              </w:rPr>
            </w:pPr>
            <w:r>
              <w:rPr>
                <w:rFonts w:ascii="Palatino Linotype" w:hAnsi="Palatino Linotype"/>
              </w:rPr>
              <w:t>Remédier aux dysfonctionnement (perspective formative).</w:t>
            </w:r>
          </w:p>
        </w:tc>
      </w:tr>
      <w:tr w:rsidR="00461AD0" w:rsidTr="00500B64">
        <w:tc>
          <w:tcPr>
            <w:tcW w:w="9062" w:type="dxa"/>
            <w:gridSpan w:val="2"/>
          </w:tcPr>
          <w:p w:rsidR="00461AD0" w:rsidRPr="00DD630A" w:rsidRDefault="00461AD0" w:rsidP="00500B64">
            <w:pPr>
              <w:jc w:val="center"/>
              <w:rPr>
                <w:rFonts w:ascii="Palatino Linotype" w:hAnsi="Palatino Linotype"/>
                <w:b/>
              </w:rPr>
            </w:pPr>
            <w:r w:rsidRPr="00DD630A">
              <w:rPr>
                <w:rFonts w:ascii="Palatino Linotype" w:hAnsi="Palatino Linotype"/>
                <w:b/>
              </w:rPr>
              <w:t>Statut de l'erreur</w:t>
            </w:r>
          </w:p>
        </w:tc>
      </w:tr>
      <w:tr w:rsidR="00461AD0" w:rsidTr="00500B64">
        <w:tc>
          <w:tcPr>
            <w:tcW w:w="4531" w:type="dxa"/>
          </w:tcPr>
          <w:p w:rsidR="00461AD0" w:rsidRDefault="00461AD0" w:rsidP="00500B64">
            <w:pPr>
              <w:rPr>
                <w:rFonts w:ascii="Palatino Linotype" w:hAnsi="Palatino Linotype"/>
              </w:rPr>
            </w:pPr>
            <w:r>
              <w:rPr>
                <w:rFonts w:ascii="Palatino Linotype" w:hAnsi="Palatino Linotype"/>
              </w:rPr>
              <w:t>Constat des erreurs, qui donnent lieu à des sanctions (erreur comme anomalie ou manque).</w:t>
            </w:r>
          </w:p>
        </w:tc>
        <w:tc>
          <w:tcPr>
            <w:tcW w:w="4531" w:type="dxa"/>
          </w:tcPr>
          <w:p w:rsidR="00461AD0" w:rsidRDefault="00461AD0" w:rsidP="00500B64">
            <w:pPr>
              <w:rPr>
                <w:rFonts w:ascii="Palatino Linotype" w:hAnsi="Palatino Linotype"/>
              </w:rPr>
            </w:pPr>
            <w:r>
              <w:rPr>
                <w:rFonts w:ascii="Palatino Linotype" w:hAnsi="Palatino Linotype"/>
              </w:rPr>
              <w:t>Prise en compte de l'erreur comme révélatrice d'un dysfonctionnement.</w:t>
            </w:r>
          </w:p>
        </w:tc>
      </w:tr>
    </w:tbl>
    <w:p w:rsidR="00461AD0" w:rsidRDefault="00461AD0" w:rsidP="00461AD0">
      <w:pPr>
        <w:rPr>
          <w:rFonts w:ascii="Palatino Linotype" w:hAnsi="Palatino Linotype"/>
        </w:rPr>
      </w:pPr>
      <w:r>
        <w:rPr>
          <w:rFonts w:ascii="Palatino Linotype" w:hAnsi="Palatino Linotype"/>
        </w:rPr>
        <w:t>(d'après Huver – Springer, 2011: 29)</w:t>
      </w:r>
    </w:p>
    <w:p w:rsidR="00DC5B37" w:rsidRPr="008F2661" w:rsidRDefault="00DC5B37" w:rsidP="00DC5B37">
      <w:pPr>
        <w:rPr>
          <w:rFonts w:ascii="Palatino Linotype" w:hAnsi="Palatino Linotype"/>
          <w:b/>
          <w:sz w:val="28"/>
          <w:szCs w:val="28"/>
        </w:rPr>
      </w:pPr>
      <w:r w:rsidRPr="008F2661">
        <w:rPr>
          <w:rFonts w:ascii="Palatino Linotype" w:hAnsi="Palatino Linotype"/>
          <w:b/>
          <w:sz w:val="28"/>
          <w:szCs w:val="28"/>
        </w:rPr>
        <w:t>L'évaluateur expert – l'évaluateur artisan</w:t>
      </w:r>
    </w:p>
    <w:p w:rsidR="00DC5B37" w:rsidRDefault="00DC5B37" w:rsidP="00DC5B37">
      <w:pPr>
        <w:rPr>
          <w:rFonts w:ascii="Palatino Linotype" w:hAnsi="Palatino Linotype"/>
        </w:rPr>
      </w:pPr>
      <w:r>
        <w:rPr>
          <w:rFonts w:ascii="Palatino Linotype" w:hAnsi="Palatino Linotype"/>
        </w:rPr>
        <w:t>Actuelle</w:t>
      </w:r>
      <w:r w:rsidR="00D9636A">
        <w:rPr>
          <w:rFonts w:ascii="Palatino Linotype" w:hAnsi="Palatino Linotype"/>
        </w:rPr>
        <w:t>ment, la croissance forte du mar</w:t>
      </w:r>
      <w:r>
        <w:rPr>
          <w:rFonts w:ascii="Palatino Linotype" w:hAnsi="Palatino Linotype"/>
        </w:rPr>
        <w:t>ché de l'évaluation en Europe, tant en éducation que dans le domaine des langues, induit l'émergence ou le développement d'entreprises spécialisées dans l'évaluation, qui se positionnent comme des spécialistes – des experts – de la conception d'outils d'évaluation. Ces experts s'inscrivent unanimement dans une perspective psychométrique, ce qui a des conséquences très directes sur leur manière d'envisager l'évalua</w:t>
      </w:r>
      <w:r w:rsidR="00D9636A">
        <w:rPr>
          <w:rFonts w:ascii="Palatino Linotype" w:hAnsi="Palatino Linotype"/>
        </w:rPr>
        <w:t>t</w:t>
      </w:r>
      <w:r>
        <w:rPr>
          <w:rFonts w:ascii="Palatino Linotype" w:hAnsi="Palatino Linotype"/>
        </w:rPr>
        <w:t>ion, tant comme notion que dans les modalités concrètes d'élaboration d'activités ou de référentiels. (…)</w:t>
      </w:r>
    </w:p>
    <w:p w:rsidR="00DC5B37" w:rsidRDefault="00DC5B37" w:rsidP="00DC5B37">
      <w:pPr>
        <w:rPr>
          <w:rFonts w:ascii="Palatino Linotype" w:hAnsi="Palatino Linotype"/>
        </w:rPr>
      </w:pPr>
      <w:r>
        <w:rPr>
          <w:rFonts w:ascii="Palatino Linotype" w:hAnsi="Palatino Linotype"/>
        </w:rPr>
        <w:t>Cette figure de l'évaluateur renvoie à un positionnement à la fois neutre et surplombant :</w:t>
      </w:r>
    </w:p>
    <w:p w:rsidR="00DC5B37" w:rsidRDefault="00DC5B37" w:rsidP="00DC5B37">
      <w:pPr>
        <w:pStyle w:val="Odstavekseznama"/>
        <w:numPr>
          <w:ilvl w:val="0"/>
          <w:numId w:val="2"/>
        </w:numPr>
        <w:rPr>
          <w:rFonts w:ascii="Palatino Linotype" w:hAnsi="Palatino Linotype"/>
        </w:rPr>
      </w:pPr>
      <w:r>
        <w:rPr>
          <w:rFonts w:ascii="Palatino Linotype" w:hAnsi="Palatino Linotype"/>
        </w:rPr>
        <w:lastRenderedPageBreak/>
        <w:t>Neutre, puisque les procédures de testing tentent d'évacuer l'activité même du sujet évaluant, au pré</w:t>
      </w:r>
      <w:r w:rsidR="00D9636A">
        <w:rPr>
          <w:rFonts w:ascii="Palatino Linotype" w:hAnsi="Palatino Linotype"/>
        </w:rPr>
        <w:t>texte que celui-ci est subjectif</w:t>
      </w:r>
      <w:r>
        <w:rPr>
          <w:rFonts w:ascii="Palatino Linotype" w:hAnsi="Palatino Linotype"/>
        </w:rPr>
        <w:t xml:space="preserve"> : l'évaluateur-expert serait alors en quelque sorte un évaluateur inexistant et neutre, au sens qu'il ne 'biaise' pas l'évaluation ;</w:t>
      </w:r>
    </w:p>
    <w:p w:rsidR="00DC5B37" w:rsidRDefault="00DC5B37" w:rsidP="00DC5B37">
      <w:pPr>
        <w:pStyle w:val="Odstavekseznama"/>
        <w:numPr>
          <w:ilvl w:val="0"/>
          <w:numId w:val="2"/>
        </w:numPr>
        <w:rPr>
          <w:rFonts w:ascii="Palatino Linotype" w:hAnsi="Palatino Linotype"/>
        </w:rPr>
      </w:pPr>
      <w:r>
        <w:rPr>
          <w:rFonts w:ascii="Palatino Linotype" w:hAnsi="Palatino Linotype"/>
        </w:rPr>
        <w:t>Surplombant, puisque l'outillage mathématique statistique qui fonde la recherche de fiabilité et d'objectivité des outils du testing suppose une forme d'expertise technique réservée à des spécialistes, ce qui dévalorise en outre les pratiques d'évaluation des enseignants, dans la mesure où elles ne serai</w:t>
      </w:r>
      <w:r w:rsidR="00D9636A">
        <w:rPr>
          <w:rFonts w:ascii="Palatino Linotype" w:hAnsi="Palatino Linotype"/>
        </w:rPr>
        <w:t>en</w:t>
      </w:r>
      <w:r>
        <w:rPr>
          <w:rFonts w:ascii="Palatino Linotype" w:hAnsi="Palatino Linotype"/>
        </w:rPr>
        <w:t>t pas 'scientifiques' (Veltcheff, 2009).</w:t>
      </w:r>
    </w:p>
    <w:p w:rsidR="00DC5B37" w:rsidRDefault="00DC5B37" w:rsidP="00DC5B37">
      <w:pPr>
        <w:pStyle w:val="Odstavekseznama"/>
        <w:numPr>
          <w:ilvl w:val="0"/>
          <w:numId w:val="2"/>
        </w:numPr>
        <w:rPr>
          <w:rFonts w:ascii="Palatino Linotype" w:hAnsi="Palatino Linotype"/>
        </w:rPr>
      </w:pPr>
      <w:r>
        <w:rPr>
          <w:rFonts w:ascii="Palatino Linotype" w:hAnsi="Palatino Linotype"/>
        </w:rPr>
        <w:t>(…)</w:t>
      </w:r>
    </w:p>
    <w:p w:rsidR="00DC5B37" w:rsidRDefault="00DC5B37" w:rsidP="00DC5B37">
      <w:pPr>
        <w:rPr>
          <w:rFonts w:ascii="Palatino Linotype" w:hAnsi="Palatino Linotype"/>
        </w:rPr>
      </w:pPr>
      <w:r>
        <w:rPr>
          <w:rFonts w:ascii="Palatino Linotype" w:hAnsi="Palatino Linotype"/>
        </w:rPr>
        <w:t xml:space="preserve">…on peut alors opposer une autre figure, celle de </w:t>
      </w:r>
      <w:r w:rsidRPr="008F2661">
        <w:rPr>
          <w:rFonts w:ascii="Palatino Linotype" w:hAnsi="Palatino Linotype"/>
          <w:b/>
        </w:rPr>
        <w:t>l'artisan impliqué</w:t>
      </w:r>
      <w:r>
        <w:rPr>
          <w:rFonts w:ascii="Palatino Linotype" w:hAnsi="Palatino Linotype"/>
        </w:rPr>
        <w:t xml:space="preserve"> :</w:t>
      </w:r>
    </w:p>
    <w:p w:rsidR="00DC5B37" w:rsidRDefault="00DC5B37" w:rsidP="00DC5B37">
      <w:pPr>
        <w:pStyle w:val="Odstavekseznama"/>
        <w:numPr>
          <w:ilvl w:val="0"/>
          <w:numId w:val="2"/>
        </w:numPr>
        <w:rPr>
          <w:rFonts w:ascii="Palatino Linotype" w:hAnsi="Palatino Linotype"/>
        </w:rPr>
      </w:pPr>
      <w:r>
        <w:rPr>
          <w:rFonts w:ascii="Palatino Linotype" w:hAnsi="Palatino Linotype"/>
        </w:rPr>
        <w:t>Artisan pour ce que les pratiques évaluatives supposent de 'bricolage', qui «</w:t>
      </w:r>
      <w:r w:rsidR="00160E58">
        <w:rPr>
          <w:rFonts w:ascii="Palatino Linotype" w:hAnsi="Palatino Linotype"/>
        </w:rPr>
        <w:t xml:space="preserve"> </w:t>
      </w:r>
      <w:r>
        <w:rPr>
          <w:rFonts w:ascii="Palatino Linotype" w:hAnsi="Palatino Linotype"/>
        </w:rPr>
        <w:t>implique la découverte, l'astuce, mais surtout l'esthétique, la créativité comme recherche du sens, ce qui était perdu dans la technicité » (Vial, 2001). En d'autres termes, il s'agit pour le technicien-expert d'appliquer des formules de manière conforme, et pour l'artisan de réfléchir aux instruments qui sont à sa disposition pour les personnaliser et les contextualiser en fonction d'un projet et d'une situation donnés ;</w:t>
      </w:r>
    </w:p>
    <w:p w:rsidR="00DC5B37" w:rsidRDefault="00DC5B37" w:rsidP="00DC5B37">
      <w:pPr>
        <w:pStyle w:val="Odstavekseznama"/>
        <w:numPr>
          <w:ilvl w:val="0"/>
          <w:numId w:val="2"/>
        </w:numPr>
        <w:rPr>
          <w:rFonts w:ascii="Palatino Linotype" w:hAnsi="Palatino Linotype"/>
        </w:rPr>
      </w:pPr>
      <w:r>
        <w:rPr>
          <w:rFonts w:ascii="Palatino Linotype" w:hAnsi="Palatino Linotype"/>
        </w:rPr>
        <w:t>Impliqué dans la mesure où l'évaluateur-bricoleur fait complètement partie du processus évaluatif. Dès lors, « la méthode qu'il mobilisera ne consiste pas à effacer ce qu'il est et ce qu'il pense, mais au contraire, à oeuvrer aussi consciemment que possible avec cela » (Herreros, 2002). (d'après Huver-Springer, 2011 : 30-32)</w:t>
      </w:r>
    </w:p>
    <w:p w:rsidR="002867F2" w:rsidRDefault="002867F2">
      <w:pPr>
        <w:rPr>
          <w:rFonts w:ascii="Palatino Linotype" w:hAnsi="Palatino Linotype"/>
        </w:rPr>
      </w:pPr>
    </w:p>
    <w:p w:rsidR="00DC5B37" w:rsidRPr="008F2661" w:rsidRDefault="00DC5B37" w:rsidP="00DC5B37">
      <w:pPr>
        <w:rPr>
          <w:rFonts w:ascii="Palatino Linotype" w:hAnsi="Palatino Linotype"/>
          <w:b/>
          <w:sz w:val="28"/>
          <w:szCs w:val="28"/>
        </w:rPr>
      </w:pPr>
      <w:r w:rsidRPr="008F2661">
        <w:rPr>
          <w:rFonts w:ascii="Palatino Linotype" w:hAnsi="Palatino Linotype"/>
          <w:b/>
          <w:sz w:val="28"/>
          <w:szCs w:val="28"/>
        </w:rPr>
        <w:t>Les qualités d'une bonne grille d'évaluation / d'un bon test</w:t>
      </w:r>
    </w:p>
    <w:p w:rsidR="00DC5B37" w:rsidRDefault="00DC5B37" w:rsidP="00DC5B37">
      <w:pPr>
        <w:pStyle w:val="Odstavekseznama"/>
        <w:numPr>
          <w:ilvl w:val="0"/>
          <w:numId w:val="2"/>
        </w:numPr>
        <w:rPr>
          <w:rFonts w:ascii="Palatino Linotype" w:hAnsi="Palatino Linotype"/>
        </w:rPr>
      </w:pPr>
      <w:r>
        <w:rPr>
          <w:rFonts w:ascii="Palatino Linotype" w:hAnsi="Palatino Linotype"/>
        </w:rPr>
        <w:t>la faisabilité</w:t>
      </w:r>
    </w:p>
    <w:p w:rsidR="00DC5B37" w:rsidRDefault="00DC5B37" w:rsidP="00DC5B37">
      <w:pPr>
        <w:pStyle w:val="Odstavekseznama"/>
        <w:numPr>
          <w:ilvl w:val="0"/>
          <w:numId w:val="2"/>
        </w:numPr>
        <w:rPr>
          <w:rFonts w:ascii="Palatino Linotype" w:hAnsi="Palatino Linotype"/>
        </w:rPr>
      </w:pPr>
      <w:r>
        <w:rPr>
          <w:rFonts w:ascii="Palatino Linotype" w:hAnsi="Palatino Linotype"/>
        </w:rPr>
        <w:t>l'équité</w:t>
      </w:r>
    </w:p>
    <w:p w:rsidR="00DC5B37" w:rsidRPr="00DC5B37" w:rsidRDefault="00DC5B37" w:rsidP="00DC5B37">
      <w:pPr>
        <w:pStyle w:val="Odstavekseznama"/>
        <w:numPr>
          <w:ilvl w:val="0"/>
          <w:numId w:val="2"/>
        </w:numPr>
        <w:rPr>
          <w:rFonts w:ascii="Palatino Linotype" w:hAnsi="Palatino Linotype"/>
        </w:rPr>
      </w:pPr>
      <w:r w:rsidRPr="00DC5B37">
        <w:rPr>
          <w:rFonts w:ascii="Palatino Linotype" w:hAnsi="Palatino Linotype"/>
        </w:rPr>
        <w:t xml:space="preserve">l'objectivité : de passation ( tous les candidats sont testés dans les mêmes conditions, fixées à l'avance : durée de l'épreuve, consignes de travail, indication des auxiliaires à utiliser, etc.), de dépouillement </w:t>
      </w:r>
      <w:r>
        <w:rPr>
          <w:rFonts w:ascii="Palatino Linotype" w:hAnsi="Palatino Linotype"/>
        </w:rPr>
        <w:t>(garantie que les points attribués correspondent de façon unifiée aux performances du candidat) et d'interprétation (notation d'ensemble unifié des résultats obtenus)</w:t>
      </w:r>
    </w:p>
    <w:p w:rsidR="00DC5B37" w:rsidRDefault="00DC5B37" w:rsidP="00DC5B37">
      <w:pPr>
        <w:pStyle w:val="Odstavekseznama"/>
        <w:numPr>
          <w:ilvl w:val="0"/>
          <w:numId w:val="2"/>
        </w:numPr>
        <w:rPr>
          <w:rFonts w:ascii="Palatino Linotype" w:hAnsi="Palatino Linotype"/>
        </w:rPr>
      </w:pPr>
      <w:r>
        <w:rPr>
          <w:rFonts w:ascii="Palatino Linotype" w:hAnsi="Palatino Linotype"/>
        </w:rPr>
        <w:t>la validité (cohérence entre l'épreuve et l'objectif)</w:t>
      </w:r>
    </w:p>
    <w:p w:rsidR="00DC5B37" w:rsidRDefault="00DC5B37" w:rsidP="00DC5B37">
      <w:pPr>
        <w:pStyle w:val="Odstavekseznama"/>
        <w:numPr>
          <w:ilvl w:val="0"/>
          <w:numId w:val="2"/>
        </w:numPr>
        <w:rPr>
          <w:rFonts w:ascii="Palatino Linotype" w:hAnsi="Palatino Linotype"/>
        </w:rPr>
      </w:pPr>
      <w:r>
        <w:rPr>
          <w:rFonts w:ascii="Palatino Linotype" w:hAnsi="Palatino Linotype"/>
        </w:rPr>
        <w:t>la fidelité – ou fiabilité (exigence de reproductibilité des résultats).</w:t>
      </w:r>
    </w:p>
    <w:p w:rsidR="00DC5B37" w:rsidRPr="008F2661" w:rsidRDefault="00500B64" w:rsidP="00500B64">
      <w:pPr>
        <w:rPr>
          <w:rFonts w:ascii="Palatino Linotype" w:hAnsi="Palatino Linotype"/>
          <w:b/>
        </w:rPr>
      </w:pPr>
      <w:r w:rsidRPr="008F2661">
        <w:rPr>
          <w:rFonts w:ascii="Palatino Linotype" w:hAnsi="Palatino Linotype"/>
          <w:b/>
        </w:rPr>
        <w:t>Les critères parasites de la fidélité</w:t>
      </w:r>
    </w:p>
    <w:p w:rsidR="00BD7A65" w:rsidRPr="00CC4A53" w:rsidRDefault="00BD7A65" w:rsidP="00BD7A65">
      <w:pPr>
        <w:pStyle w:val="Golobesedilo"/>
        <w:numPr>
          <w:ilvl w:val="0"/>
          <w:numId w:val="2"/>
        </w:numPr>
        <w:rPr>
          <w:rFonts w:ascii="Palatino Linotype" w:hAnsi="Palatino Linotype"/>
          <w:sz w:val="22"/>
          <w:szCs w:val="22"/>
        </w:rPr>
      </w:pPr>
      <w:r w:rsidRPr="00CC4A53">
        <w:rPr>
          <w:rFonts w:ascii="Palatino Linotype" w:hAnsi="Palatino Linotype"/>
          <w:b/>
          <w:sz w:val="22"/>
          <w:szCs w:val="22"/>
        </w:rPr>
        <w:t>Le favoritisme</w:t>
      </w:r>
      <w:r w:rsidRPr="00CC4A53">
        <w:rPr>
          <w:rFonts w:ascii="Palatino Linotype" w:hAnsi="Palatino Linotype"/>
          <w:sz w:val="22"/>
          <w:szCs w:val="22"/>
        </w:rPr>
        <w:t xml:space="preserve"> : le «favori» ou le «chouchou» est en général celui qui renvoie à l’enseignant une image gratifiante de lui-même.</w:t>
      </w:r>
    </w:p>
    <w:p w:rsidR="00BD7A65" w:rsidRPr="00CC4A53" w:rsidRDefault="00BD7A65" w:rsidP="00BD7A65">
      <w:pPr>
        <w:pStyle w:val="Golobesedilo"/>
        <w:numPr>
          <w:ilvl w:val="0"/>
          <w:numId w:val="2"/>
        </w:numPr>
        <w:rPr>
          <w:rFonts w:ascii="Palatino Linotype" w:hAnsi="Palatino Linotype"/>
          <w:sz w:val="22"/>
          <w:szCs w:val="22"/>
        </w:rPr>
      </w:pPr>
      <w:r w:rsidRPr="00CC4A53">
        <w:rPr>
          <w:rFonts w:ascii="Palatino Linotype" w:hAnsi="Palatino Linotype"/>
          <w:b/>
          <w:sz w:val="22"/>
          <w:szCs w:val="22"/>
        </w:rPr>
        <w:t>La fatigue, les conditions de correction</w:t>
      </w:r>
      <w:r w:rsidRPr="00CC4A53">
        <w:rPr>
          <w:rFonts w:ascii="Palatino Linotype" w:hAnsi="Palatino Linotype"/>
          <w:sz w:val="22"/>
          <w:szCs w:val="22"/>
        </w:rPr>
        <w:t xml:space="preserve"> : on corrige sans doute plus équitablement le matin bien assis à une table de travail que le soir devant la télévision.</w:t>
      </w:r>
    </w:p>
    <w:p w:rsidR="00BD7A65" w:rsidRPr="00CC4A53" w:rsidRDefault="00BD7A65" w:rsidP="00BD7A65">
      <w:pPr>
        <w:pStyle w:val="Golobesedilo"/>
        <w:numPr>
          <w:ilvl w:val="0"/>
          <w:numId w:val="2"/>
        </w:numPr>
        <w:rPr>
          <w:rFonts w:ascii="Palatino Linotype" w:hAnsi="Palatino Linotype"/>
          <w:b/>
          <w:sz w:val="22"/>
          <w:szCs w:val="22"/>
        </w:rPr>
      </w:pPr>
      <w:r w:rsidRPr="00CC4A53">
        <w:rPr>
          <w:rFonts w:ascii="Palatino Linotype" w:hAnsi="Palatino Linotype"/>
          <w:b/>
          <w:sz w:val="22"/>
          <w:szCs w:val="22"/>
        </w:rPr>
        <w:t xml:space="preserve">L’effet de contraste </w:t>
      </w:r>
      <w:r w:rsidRPr="00CC4A53">
        <w:rPr>
          <w:rFonts w:ascii="Palatino Linotype" w:hAnsi="Palatino Linotype"/>
          <w:sz w:val="22"/>
          <w:szCs w:val="22"/>
        </w:rPr>
        <w:t>: une copie moyenne souffre d’être corrigée juste après une excellente production. Si elle avait été corrigée après une copie très médiocre, il y a fort à parier qu’elle aurait obtenu une meilleure note.</w:t>
      </w:r>
    </w:p>
    <w:p w:rsidR="00BD7A65" w:rsidRPr="00CC4A53" w:rsidRDefault="00BD7A65" w:rsidP="00BD7A65">
      <w:pPr>
        <w:pStyle w:val="Golobesedilo"/>
        <w:numPr>
          <w:ilvl w:val="0"/>
          <w:numId w:val="2"/>
        </w:numPr>
        <w:rPr>
          <w:rFonts w:ascii="Palatino Linotype" w:hAnsi="Palatino Linotype"/>
          <w:sz w:val="22"/>
          <w:szCs w:val="22"/>
        </w:rPr>
      </w:pPr>
      <w:r w:rsidRPr="00CC4A53">
        <w:rPr>
          <w:rFonts w:ascii="Palatino Linotype" w:hAnsi="Palatino Linotype"/>
          <w:b/>
          <w:sz w:val="22"/>
          <w:szCs w:val="22"/>
        </w:rPr>
        <w:t>L’effet d’ordre</w:t>
      </w:r>
      <w:r w:rsidRPr="00CC4A53">
        <w:rPr>
          <w:rFonts w:ascii="Palatino Linotype" w:hAnsi="Palatino Linotype"/>
          <w:sz w:val="22"/>
          <w:szCs w:val="22"/>
        </w:rPr>
        <w:t xml:space="preserve"> : on est en général plus sévère à la fin d’une série de copies qu’au début.</w:t>
      </w:r>
    </w:p>
    <w:p w:rsidR="00BD7A65" w:rsidRPr="00CC4A53" w:rsidRDefault="00BD7A65" w:rsidP="00BD7A65">
      <w:pPr>
        <w:pStyle w:val="Golobesedilo"/>
        <w:numPr>
          <w:ilvl w:val="0"/>
          <w:numId w:val="2"/>
        </w:numPr>
        <w:rPr>
          <w:rFonts w:ascii="Palatino Linotype" w:hAnsi="Palatino Linotype"/>
          <w:sz w:val="22"/>
          <w:szCs w:val="22"/>
        </w:rPr>
      </w:pPr>
      <w:r w:rsidRPr="00CC4A53">
        <w:rPr>
          <w:rFonts w:ascii="Palatino Linotype" w:hAnsi="Palatino Linotype"/>
          <w:b/>
          <w:sz w:val="22"/>
          <w:szCs w:val="22"/>
        </w:rPr>
        <w:lastRenderedPageBreak/>
        <w:t>L’effet de stéréotypie</w:t>
      </w:r>
      <w:r w:rsidRPr="00CC4A53">
        <w:rPr>
          <w:rFonts w:ascii="Palatino Linotype" w:hAnsi="Palatino Linotype"/>
          <w:sz w:val="22"/>
          <w:szCs w:val="22"/>
        </w:rPr>
        <w:t xml:space="preserve"> : les notes attribuées au cours du premier trimestre sont souvent une référence pour l’enseignant qui, par la suite, à du mal à noter différemment. Combien d’élèves disent qu’ils ont été jugés une fois pour toutes au début de l’année?</w:t>
      </w:r>
    </w:p>
    <w:p w:rsidR="00BD7A65" w:rsidRPr="00CC4A53" w:rsidRDefault="00BD7A65" w:rsidP="00BD7A65">
      <w:pPr>
        <w:pStyle w:val="Golobesedilo"/>
        <w:numPr>
          <w:ilvl w:val="0"/>
          <w:numId w:val="2"/>
        </w:numPr>
        <w:rPr>
          <w:rFonts w:ascii="Palatino Linotype" w:hAnsi="Palatino Linotype"/>
          <w:sz w:val="22"/>
          <w:szCs w:val="22"/>
        </w:rPr>
      </w:pPr>
      <w:r w:rsidRPr="00CC4A53">
        <w:rPr>
          <w:rFonts w:ascii="Palatino Linotype" w:hAnsi="Palatino Linotype"/>
          <w:b/>
          <w:sz w:val="22"/>
          <w:szCs w:val="22"/>
        </w:rPr>
        <w:t>L’effet de halo</w:t>
      </w:r>
      <w:r w:rsidRPr="00CC4A53">
        <w:rPr>
          <w:rFonts w:ascii="Palatino Linotype" w:hAnsi="Palatino Linotype"/>
          <w:sz w:val="22"/>
          <w:szCs w:val="22"/>
        </w:rPr>
        <w:t xml:space="preserve"> : à l’oral un élève sympathique, qui a une bonne verbalisation et une personnalité positive n’est-il pas mieux noté qu’un introverti timide? De même un travail écrit soigné, même si son contenu laisse à désirer, ne fait-il pas meilleure présentation qu’un bon travail mal présenté?</w:t>
      </w:r>
    </w:p>
    <w:p w:rsidR="00BD7A65" w:rsidRPr="00CC4A53" w:rsidRDefault="00BD7A65" w:rsidP="00BD7A65">
      <w:pPr>
        <w:pStyle w:val="Golobesedilo"/>
        <w:numPr>
          <w:ilvl w:val="0"/>
          <w:numId w:val="2"/>
        </w:numPr>
        <w:rPr>
          <w:rFonts w:ascii="Palatino Linotype" w:hAnsi="Palatino Linotype"/>
          <w:sz w:val="22"/>
          <w:szCs w:val="22"/>
        </w:rPr>
      </w:pPr>
      <w:r w:rsidRPr="00CC4A53">
        <w:rPr>
          <w:rFonts w:ascii="Palatino Linotype" w:hAnsi="Palatino Linotype"/>
          <w:b/>
          <w:sz w:val="22"/>
          <w:szCs w:val="22"/>
        </w:rPr>
        <w:t>La variable choc</w:t>
      </w:r>
      <w:r w:rsidRPr="00CC4A53">
        <w:rPr>
          <w:rFonts w:ascii="Palatino Linotype" w:hAnsi="Palatino Linotype"/>
          <w:sz w:val="22"/>
          <w:szCs w:val="22"/>
        </w:rPr>
        <w:t xml:space="preserve"> : il en existe deux. La négative : la même erreur retrouvée toutes les trois phrases dans une copie et c’est le zéro. La positive : une idée géniale dans une copie pas très géniale et c’est tout de même la moyenne assurée.</w:t>
      </w:r>
    </w:p>
    <w:p w:rsidR="00BD7A65" w:rsidRPr="00CC4A53" w:rsidRDefault="00BD7A65" w:rsidP="00BD7A65">
      <w:pPr>
        <w:pStyle w:val="Golobesedilo"/>
        <w:numPr>
          <w:ilvl w:val="0"/>
          <w:numId w:val="2"/>
        </w:numPr>
        <w:rPr>
          <w:rFonts w:ascii="Palatino Linotype" w:hAnsi="Palatino Linotype"/>
          <w:sz w:val="22"/>
          <w:szCs w:val="22"/>
        </w:rPr>
      </w:pPr>
      <w:r w:rsidRPr="00CC4A53">
        <w:rPr>
          <w:rFonts w:ascii="Palatino Linotype" w:hAnsi="Palatino Linotype"/>
          <w:b/>
          <w:sz w:val="22"/>
          <w:szCs w:val="22"/>
        </w:rPr>
        <w:t>La variable de débordement</w:t>
      </w:r>
      <w:r w:rsidRPr="00CC4A53">
        <w:rPr>
          <w:rFonts w:ascii="Palatino Linotype" w:hAnsi="Palatino Linotype"/>
          <w:sz w:val="22"/>
          <w:szCs w:val="22"/>
        </w:rPr>
        <w:t xml:space="preserve"> : tout au long de la copie, qui n’est pas inintéressante, l’enseignant a toléré les fautes d’orthographe, la mauvaise ponctuation,... puis, inexplicablement, la vingtième majuscule non présente après un point fait déborder le vase. La coupe est pleine, le zéro n’est pas loin.</w:t>
      </w:r>
    </w:p>
    <w:p w:rsidR="00BD7A65" w:rsidRPr="00CC4A53" w:rsidRDefault="00BD7A65" w:rsidP="00BD7A65">
      <w:pPr>
        <w:pStyle w:val="Golobesedilo"/>
        <w:numPr>
          <w:ilvl w:val="0"/>
          <w:numId w:val="2"/>
        </w:numPr>
        <w:rPr>
          <w:rFonts w:ascii="Palatino Linotype" w:hAnsi="Palatino Linotype"/>
          <w:sz w:val="22"/>
          <w:szCs w:val="22"/>
        </w:rPr>
      </w:pPr>
      <w:r w:rsidRPr="00CC4A53">
        <w:rPr>
          <w:rFonts w:ascii="Palatino Linotype" w:hAnsi="Palatino Linotype"/>
          <w:b/>
          <w:sz w:val="22"/>
          <w:szCs w:val="22"/>
        </w:rPr>
        <w:t>La mesure de l’écart-type</w:t>
      </w:r>
      <w:r w:rsidRPr="00CC4A53">
        <w:rPr>
          <w:rFonts w:ascii="Palatino Linotype" w:hAnsi="Palatino Linotype"/>
          <w:sz w:val="22"/>
          <w:szCs w:val="22"/>
        </w:rPr>
        <w:t xml:space="preserve"> : on dit que chaque enseignant a son écart-type. Par exemple, sur une échelle de notation, mettons de zéro à vingt, tel enseignant n’utilise que la fourchette comprise entre huit et douze. Son écart-type est de 4 points. </w:t>
      </w:r>
    </w:p>
    <w:p w:rsidR="00BD7A65" w:rsidRPr="00CC4A53" w:rsidRDefault="00BD7A65" w:rsidP="00BD7A65">
      <w:pPr>
        <w:pStyle w:val="Golobesedilo"/>
        <w:numPr>
          <w:ilvl w:val="0"/>
          <w:numId w:val="2"/>
        </w:numPr>
        <w:rPr>
          <w:rFonts w:ascii="Palatino Linotype" w:hAnsi="Palatino Linotype"/>
          <w:sz w:val="22"/>
          <w:szCs w:val="22"/>
        </w:rPr>
      </w:pPr>
      <w:r w:rsidRPr="00CC4A53">
        <w:rPr>
          <w:rFonts w:ascii="Palatino Linotype" w:hAnsi="Palatino Linotype"/>
          <w:b/>
          <w:sz w:val="22"/>
          <w:szCs w:val="22"/>
        </w:rPr>
        <w:t>L’évaluation extérieure</w:t>
      </w:r>
      <w:r w:rsidRPr="00CC4A53">
        <w:rPr>
          <w:rFonts w:ascii="Palatino Linotype" w:hAnsi="Palatino Linotype"/>
          <w:sz w:val="22"/>
          <w:szCs w:val="22"/>
        </w:rPr>
        <w:t xml:space="preserve"> : on n’en parle qu’à voix basse dans les couloirs, car il s’agit de la réputation d’un enseignant vis-à-vis de ses collègues et de son institution. « Les élèves d’Untel n’ont que de mauvaises notes, ce doit être un mauvais enseignant... »  C’est ainsi qu’il arrive que les enseignants ne mettent que très peu d’excellentes et de mauvaises notes, et beaucoup de notes moyennes. Ils sont alors dans la « moyenne » générale.</w:t>
      </w:r>
    </w:p>
    <w:p w:rsidR="00BD7A65" w:rsidRDefault="00BD7A65" w:rsidP="00BD7A65">
      <w:pPr>
        <w:rPr>
          <w:rFonts w:ascii="Palatino Linotype" w:hAnsi="Palatino Linotype"/>
        </w:rPr>
      </w:pPr>
      <w:r w:rsidRPr="00CC4A53">
        <w:rPr>
          <w:rFonts w:ascii="Palatino Linotype" w:hAnsi="Palatino Linotype"/>
        </w:rPr>
        <w:t>(d’apres Tagliante</w:t>
      </w:r>
      <w:r w:rsidR="00500B64">
        <w:rPr>
          <w:rFonts w:ascii="Palatino Linotype" w:hAnsi="Palatino Linotype"/>
        </w:rPr>
        <w:t>, 1991</w:t>
      </w:r>
      <w:r w:rsidRPr="00CC4A53">
        <w:rPr>
          <w:rFonts w:ascii="Palatino Linotype" w:hAnsi="Palatino Linotype"/>
        </w:rPr>
        <w:t xml:space="preserve"> : 27-28)</w:t>
      </w:r>
      <w:r w:rsidRPr="00CC4A53">
        <w:rPr>
          <w:rFonts w:ascii="Palatino Linotype" w:hAnsi="Palatino Linotype"/>
        </w:rPr>
        <w:cr/>
      </w:r>
    </w:p>
    <w:p w:rsidR="00631215" w:rsidRPr="008F2661" w:rsidRDefault="00631215" w:rsidP="00BD7A65">
      <w:pPr>
        <w:rPr>
          <w:rFonts w:ascii="Palatino Linotype" w:hAnsi="Palatino Linotype"/>
          <w:b/>
          <w:sz w:val="28"/>
          <w:szCs w:val="28"/>
        </w:rPr>
      </w:pPr>
      <w:r w:rsidRPr="008F2661">
        <w:rPr>
          <w:rFonts w:ascii="Palatino Linotype" w:hAnsi="Palatino Linotype"/>
          <w:b/>
          <w:sz w:val="28"/>
          <w:szCs w:val="28"/>
        </w:rPr>
        <w:t>Vers une nouvelle culture pour l'évaluation des apprentissages en langues</w:t>
      </w:r>
    </w:p>
    <w:p w:rsidR="00631215" w:rsidRDefault="00631215" w:rsidP="00F61DA2">
      <w:pPr>
        <w:spacing w:after="0"/>
        <w:rPr>
          <w:rFonts w:ascii="Palatino Linotype" w:hAnsi="Palatino Linotype"/>
        </w:rPr>
      </w:pPr>
      <w:r>
        <w:rPr>
          <w:rFonts w:ascii="Palatino Linotype" w:hAnsi="Palatino Linotype"/>
        </w:rPr>
        <w:t xml:space="preserve">L'approche par tâches, proposée par le CECR invite à un réel renouveau et permet de proposer de nouvelles pratiques évaluatives. (…) </w:t>
      </w:r>
    </w:p>
    <w:p w:rsidR="00631215" w:rsidRDefault="00631215" w:rsidP="00F61DA2">
      <w:pPr>
        <w:spacing w:after="0"/>
        <w:rPr>
          <w:rFonts w:ascii="Palatino Linotype" w:hAnsi="Palatino Linotype"/>
        </w:rPr>
      </w:pPr>
      <w:r>
        <w:rPr>
          <w:rFonts w:ascii="Palatino Linotype" w:hAnsi="Palatino Linotype"/>
        </w:rPr>
        <w:t>L'objectif dominant est de mener les élèves à un niveau de performance global ou par activités langagières. Il s'agit alors de justifier ce niveau en référence au CECR. (…)</w:t>
      </w:r>
    </w:p>
    <w:p w:rsidR="00631215" w:rsidRPr="00CC4A53" w:rsidRDefault="00631215" w:rsidP="00F61DA2">
      <w:pPr>
        <w:spacing w:after="0"/>
        <w:rPr>
          <w:rFonts w:ascii="Palatino Linotype" w:hAnsi="Palatino Linotype"/>
        </w:rPr>
      </w:pPr>
      <w:r>
        <w:rPr>
          <w:rFonts w:ascii="Palatino Linotype" w:hAnsi="Palatino Linotype"/>
        </w:rPr>
        <w:t>En ce qui concerne le collège et le lycée, nous avons pu constater le maintien de l'approche globaliste avec tâche finale pour le collège, mais surtout l'apparition de l'approche par activités langagières au lycée. L'exemple du lycée est particulièrement intéressant et aussi préoccupant. Les évaluation diagnostiques et sommatives s'installent fermement et sont orientées vers l'évaluation certificative : on court alors le risque de morceler les apprentissages en enfermant les élèves sur les seules compétences langagières et linguistiques définies par le CECR. (d'après Huver – Springer, 2011 : 202-204)</w:t>
      </w:r>
    </w:p>
    <w:p w:rsidR="00F61DA2" w:rsidRDefault="00F61DA2">
      <w:pPr>
        <w:rPr>
          <w:rFonts w:ascii="Palatino Linotype" w:hAnsi="Palatino Linotype"/>
          <w:b/>
          <w:sz w:val="28"/>
          <w:szCs w:val="28"/>
        </w:rPr>
      </w:pPr>
    </w:p>
    <w:p w:rsidR="00F61DA2" w:rsidRDefault="00F61DA2">
      <w:pPr>
        <w:rPr>
          <w:rFonts w:ascii="Palatino Linotype" w:hAnsi="Palatino Linotype"/>
          <w:b/>
          <w:sz w:val="28"/>
          <w:szCs w:val="28"/>
        </w:rPr>
      </w:pPr>
    </w:p>
    <w:p w:rsidR="00B96944" w:rsidRDefault="00631215">
      <w:pPr>
        <w:rPr>
          <w:rFonts w:ascii="Palatino Linotype" w:hAnsi="Palatino Linotype"/>
          <w:b/>
          <w:sz w:val="28"/>
          <w:szCs w:val="28"/>
        </w:rPr>
      </w:pPr>
      <w:r w:rsidRPr="008F2661">
        <w:rPr>
          <w:rFonts w:ascii="Palatino Linotype" w:hAnsi="Palatino Linotype"/>
          <w:b/>
          <w:sz w:val="28"/>
          <w:szCs w:val="28"/>
        </w:rPr>
        <w:t>L</w:t>
      </w:r>
      <w:r w:rsidR="00EC0499" w:rsidRPr="008F2661">
        <w:rPr>
          <w:rFonts w:ascii="Palatino Linotype" w:hAnsi="Palatino Linotype"/>
          <w:b/>
          <w:sz w:val="28"/>
          <w:szCs w:val="28"/>
        </w:rPr>
        <w:t>'auto-évaluation</w:t>
      </w:r>
    </w:p>
    <w:p w:rsidR="00160E58" w:rsidRDefault="00160E58">
      <w:pPr>
        <w:rPr>
          <w:rFonts w:ascii="Palatino Linotype" w:hAnsi="Palatino Linotype"/>
          <w:b/>
          <w:sz w:val="28"/>
          <w:szCs w:val="28"/>
        </w:rPr>
      </w:pPr>
    </w:p>
    <w:p w:rsidR="00160E58" w:rsidRPr="008F2661" w:rsidRDefault="00160E58">
      <w:pPr>
        <w:rPr>
          <w:rFonts w:ascii="Palatino Linotype" w:hAnsi="Palatino Linotype"/>
          <w:b/>
          <w:sz w:val="28"/>
          <w:szCs w:val="28"/>
        </w:rPr>
      </w:pPr>
      <w:r>
        <w:rPr>
          <w:rFonts w:ascii="Palatino Linotype" w:hAnsi="Palatino Linotype"/>
          <w:b/>
          <w:sz w:val="28"/>
          <w:szCs w:val="28"/>
        </w:rPr>
        <w:lastRenderedPageBreak/>
        <w:t>Commentez les affirmations/passages suivants :</w:t>
      </w:r>
    </w:p>
    <w:p w:rsidR="00B437A7" w:rsidRPr="008F2661" w:rsidRDefault="00B437A7" w:rsidP="005E1BC4">
      <w:pPr>
        <w:pBdr>
          <w:top w:val="single" w:sz="4" w:space="1" w:color="auto"/>
          <w:left w:val="single" w:sz="4" w:space="4" w:color="auto"/>
          <w:bottom w:val="single" w:sz="4" w:space="1" w:color="auto"/>
          <w:right w:val="single" w:sz="4" w:space="4" w:color="auto"/>
        </w:pBdr>
        <w:rPr>
          <w:rFonts w:ascii="AR BLANCA" w:hAnsi="AR BLANCA"/>
          <w:sz w:val="24"/>
          <w:szCs w:val="24"/>
        </w:rPr>
      </w:pPr>
      <w:r w:rsidRPr="008F2661">
        <w:rPr>
          <w:rFonts w:ascii="AR BLANCA" w:hAnsi="AR BLANCA"/>
          <w:sz w:val="24"/>
          <w:szCs w:val="24"/>
        </w:rPr>
        <w:t>La bonne évaluation est une chimère. (Vial, 2001, cité dans Huver, Springer, 2011: 14)</w:t>
      </w:r>
    </w:p>
    <w:p w:rsidR="005E1BC4" w:rsidRPr="008F2661" w:rsidRDefault="005E1BC4" w:rsidP="005E1BC4">
      <w:pPr>
        <w:rPr>
          <w:rFonts w:ascii="AR BLANCA" w:hAnsi="AR BLANCA"/>
          <w:sz w:val="24"/>
          <w:szCs w:val="24"/>
        </w:rPr>
      </w:pPr>
    </w:p>
    <w:p w:rsidR="00B437A7" w:rsidRDefault="00B437A7" w:rsidP="00013A6F">
      <w:pPr>
        <w:pBdr>
          <w:top w:val="single" w:sz="4" w:space="1" w:color="auto"/>
          <w:left w:val="single" w:sz="4" w:space="4" w:color="auto"/>
          <w:bottom w:val="single" w:sz="4" w:space="1" w:color="auto"/>
          <w:right w:val="single" w:sz="4" w:space="4" w:color="auto"/>
        </w:pBdr>
        <w:rPr>
          <w:rFonts w:ascii="AR BLANCA" w:hAnsi="AR BLANCA"/>
          <w:sz w:val="24"/>
          <w:szCs w:val="24"/>
        </w:rPr>
      </w:pPr>
      <w:r w:rsidRPr="008F2661">
        <w:rPr>
          <w:rFonts w:ascii="AR BLANCA" w:hAnsi="AR BLANCA"/>
          <w:sz w:val="24"/>
          <w:szCs w:val="24"/>
        </w:rPr>
        <w:t>L'objectivité est un mythe (entendu la semaine derniere, lors d'une conférence)</w:t>
      </w:r>
    </w:p>
    <w:p w:rsidR="00013A6F" w:rsidRPr="008F2661" w:rsidRDefault="00013A6F" w:rsidP="00013A6F">
      <w:pPr>
        <w:rPr>
          <w:rFonts w:ascii="AR BLANCA" w:hAnsi="AR BLANCA"/>
          <w:sz w:val="24"/>
          <w:szCs w:val="24"/>
        </w:rPr>
      </w:pPr>
    </w:p>
    <w:p w:rsidR="00B437A7" w:rsidRPr="008F2661" w:rsidRDefault="00B437A7" w:rsidP="00013A6F">
      <w:pPr>
        <w:pBdr>
          <w:top w:val="single" w:sz="4" w:space="1" w:color="auto"/>
          <w:left w:val="single" w:sz="4" w:space="4" w:color="auto"/>
          <w:bottom w:val="single" w:sz="4" w:space="1" w:color="auto"/>
          <w:right w:val="single" w:sz="4" w:space="4" w:color="auto"/>
        </w:pBdr>
        <w:rPr>
          <w:rFonts w:ascii="AR BLANCA" w:hAnsi="AR BLANCA"/>
          <w:sz w:val="24"/>
          <w:szCs w:val="24"/>
        </w:rPr>
      </w:pPr>
      <w:r w:rsidRPr="008F2661">
        <w:rPr>
          <w:rFonts w:ascii="AR BLANCA" w:hAnsi="AR BLANCA"/>
          <w:sz w:val="24"/>
          <w:szCs w:val="24"/>
        </w:rPr>
        <w:t>Rares  sont les pays où l'enseignant re</w:t>
      </w:r>
      <w:r w:rsidRPr="008F2661">
        <w:rPr>
          <w:rFonts w:ascii="AR BLANCA" w:hAnsi="AR BLANCA" w:cstheme="minorHAnsi"/>
          <w:sz w:val="24"/>
          <w:szCs w:val="24"/>
        </w:rPr>
        <w:t>ç</w:t>
      </w:r>
      <w:r w:rsidRPr="008F2661">
        <w:rPr>
          <w:rFonts w:ascii="AR BLANCA" w:hAnsi="AR BLANCA"/>
          <w:sz w:val="24"/>
          <w:szCs w:val="24"/>
        </w:rPr>
        <w:t>oit, dans sa formation initiale, ne serait-ce qu'une information sur les différentes fa</w:t>
      </w:r>
      <w:r w:rsidRPr="008F2661">
        <w:rPr>
          <w:rFonts w:ascii="AR BLANCA" w:hAnsi="AR BLANCA" w:cstheme="minorHAnsi"/>
          <w:sz w:val="24"/>
          <w:szCs w:val="24"/>
        </w:rPr>
        <w:t>ç</w:t>
      </w:r>
      <w:r w:rsidRPr="008F2661">
        <w:rPr>
          <w:rFonts w:ascii="AR BLANCA" w:hAnsi="AR BLANCA"/>
          <w:sz w:val="24"/>
          <w:szCs w:val="24"/>
        </w:rPr>
        <w:t>ons d'évaluer les progrès en langues de ses élèves.</w:t>
      </w:r>
    </w:p>
    <w:p w:rsidR="00B437A7" w:rsidRPr="008F2661" w:rsidRDefault="00B437A7" w:rsidP="00013A6F">
      <w:pPr>
        <w:pBdr>
          <w:top w:val="single" w:sz="4" w:space="1" w:color="auto"/>
          <w:left w:val="single" w:sz="4" w:space="4" w:color="auto"/>
          <w:bottom w:val="single" w:sz="4" w:space="1" w:color="auto"/>
          <w:right w:val="single" w:sz="4" w:space="4" w:color="auto"/>
        </w:pBdr>
        <w:rPr>
          <w:rFonts w:ascii="AR BLANCA" w:hAnsi="AR BLANCA"/>
          <w:sz w:val="24"/>
          <w:szCs w:val="24"/>
        </w:rPr>
      </w:pPr>
      <w:r w:rsidRPr="008F2661">
        <w:rPr>
          <w:rFonts w:ascii="AR BLANCA" w:hAnsi="AR BLANCA"/>
          <w:sz w:val="24"/>
          <w:szCs w:val="24"/>
        </w:rPr>
        <w:t>Démuni, il reproduit souvent les procédures par lesquelles il a lui-même été évalué au cours de ses études. Cette évaluation scolaire, essentiellement dictée par les impératifs de l'institution scolaire ou universitaire, ne prend en compte que l'un des aspects de l'évaluation, celle de l'évaluation sommative, qui permet de délivrer notes et diplômes, à l'usage social (passage d'une classe à l'au</w:t>
      </w:r>
      <w:r w:rsidR="00160E58">
        <w:rPr>
          <w:rFonts w:ascii="AR BLANCA" w:hAnsi="AR BLANCA"/>
          <w:sz w:val="24"/>
          <w:szCs w:val="24"/>
        </w:rPr>
        <w:t>tre, obtention d'un diplôme fina</w:t>
      </w:r>
      <w:r w:rsidRPr="008F2661">
        <w:rPr>
          <w:rFonts w:ascii="AR BLANCA" w:hAnsi="AR BLANCA"/>
          <w:sz w:val="24"/>
          <w:szCs w:val="24"/>
        </w:rPr>
        <w:t>l de fin d'études). (Tagliante, 2005: 8-9)</w:t>
      </w:r>
    </w:p>
    <w:p w:rsidR="005E1BC4" w:rsidRPr="008F2661" w:rsidRDefault="005E1BC4" w:rsidP="005E1BC4">
      <w:pPr>
        <w:rPr>
          <w:rFonts w:ascii="AR BLANCA" w:hAnsi="AR BLANCA"/>
          <w:sz w:val="24"/>
          <w:szCs w:val="24"/>
        </w:rPr>
      </w:pPr>
    </w:p>
    <w:p w:rsidR="00B437A7" w:rsidRPr="008F2661" w:rsidRDefault="00B437A7" w:rsidP="005E1BC4">
      <w:pPr>
        <w:pBdr>
          <w:top w:val="single" w:sz="4" w:space="1" w:color="auto"/>
          <w:left w:val="single" w:sz="4" w:space="4" w:color="auto"/>
          <w:bottom w:val="single" w:sz="4" w:space="1" w:color="auto"/>
          <w:right w:val="single" w:sz="4" w:space="4" w:color="auto"/>
        </w:pBdr>
        <w:rPr>
          <w:rFonts w:ascii="AR BLANCA" w:hAnsi="AR BLANCA"/>
          <w:sz w:val="24"/>
          <w:szCs w:val="24"/>
        </w:rPr>
      </w:pPr>
      <w:r w:rsidRPr="008F2661">
        <w:rPr>
          <w:rFonts w:ascii="AR BLANCA" w:hAnsi="AR BLANCA"/>
          <w:sz w:val="24"/>
          <w:szCs w:val="24"/>
        </w:rPr>
        <w:t xml:space="preserve">Au début de ma carrière d'enseignant chercheur à l'université, je préparais les sujets d'examen avec un collègue, responsable de l'enseignement dans la section. Ce collègue, excellent enseignant d'ailleurs, avait à chaque fois une appréhension qui semblait l'obséder : </w:t>
      </w:r>
      <w:r w:rsidRPr="008F2661">
        <w:rPr>
          <w:rFonts w:ascii="AR BLANCA" w:hAnsi="AR BLANCA" w:cstheme="minorHAnsi"/>
          <w:sz w:val="24"/>
          <w:szCs w:val="24"/>
        </w:rPr>
        <w:t>« Ne craignez-vous pas, Monsieur Antibi, qu'avec un tel sujet, Musclor (le meilleur élève de la promotion) risque de sortir avant la fin de l'épreuve ?» J'avoue que je partageais ses craintes, de manière moins obsessionnelle peut-être. Que faisions-nous pour nous rassurer ? Nous rajoutions une question 'spécial Musclor', difficile. En fait, Musclor n'est jamais sorti avant la fin de l'épreuve !  (Antibi, 2003, cité dans Huver, Springer, 2011 : 103)</w:t>
      </w:r>
    </w:p>
    <w:p w:rsidR="005E1BC4" w:rsidRPr="008F2661" w:rsidRDefault="005E1BC4" w:rsidP="005E1BC4">
      <w:pPr>
        <w:rPr>
          <w:rFonts w:ascii="AR BLANCA" w:eastAsia="Times New Roman" w:hAnsi="AR BLANCA" w:cs="Arial"/>
          <w:b/>
          <w:bCs/>
          <w:color w:val="000000"/>
          <w:sz w:val="24"/>
          <w:szCs w:val="24"/>
          <w:bdr w:val="none" w:sz="0" w:space="0" w:color="auto" w:frame="1"/>
          <w:lang w:eastAsia="en-GB"/>
        </w:rPr>
      </w:pPr>
    </w:p>
    <w:p w:rsidR="00B437A7" w:rsidRPr="008F2661" w:rsidRDefault="00B437A7" w:rsidP="005E1BC4">
      <w:pPr>
        <w:pBdr>
          <w:top w:val="single" w:sz="4" w:space="1" w:color="auto"/>
          <w:left w:val="single" w:sz="4" w:space="4" w:color="auto"/>
          <w:bottom w:val="single" w:sz="4" w:space="1" w:color="auto"/>
          <w:right w:val="single" w:sz="4" w:space="4" w:color="auto"/>
        </w:pBdr>
        <w:rPr>
          <w:rFonts w:ascii="AR BLANCA" w:hAnsi="AR BLANCA"/>
          <w:sz w:val="24"/>
          <w:szCs w:val="24"/>
        </w:rPr>
      </w:pPr>
      <w:r w:rsidRPr="008F2661">
        <w:rPr>
          <w:rFonts w:ascii="AR BLANCA" w:eastAsia="Times New Roman" w:hAnsi="AR BLANCA" w:cs="Arial"/>
          <w:bCs/>
          <w:color w:val="000000"/>
          <w:sz w:val="24"/>
          <w:szCs w:val="24"/>
          <w:bdr w:val="none" w:sz="0" w:space="0" w:color="auto" w:frame="1"/>
          <w:lang w:eastAsia="en-GB"/>
        </w:rPr>
        <w:t>Je ne barrais pas au stylo rouge les erreurs, mais je mettais au contraire en évidence les lettres et les formes qu’elle avait particulièrement bien réussies, en les entourant au stylo vert</w:t>
      </w:r>
      <w:r w:rsidRPr="008F2661">
        <w:rPr>
          <w:rFonts w:ascii="AR BLANCA" w:eastAsia="Times New Roman" w:hAnsi="AR BLANCA" w:cs="Arial"/>
          <w:b/>
          <w:bCs/>
          <w:color w:val="000000"/>
          <w:sz w:val="24"/>
          <w:szCs w:val="24"/>
          <w:bdr w:val="none" w:sz="0" w:space="0" w:color="auto" w:frame="1"/>
          <w:lang w:eastAsia="en-GB"/>
        </w:rPr>
        <w:t>.</w:t>
      </w:r>
      <w:r w:rsidRPr="008F2661">
        <w:rPr>
          <w:rFonts w:ascii="AR BLANCA" w:eastAsia="Times New Roman" w:hAnsi="AR BLANCA" w:cs="Arial"/>
          <w:color w:val="000000"/>
          <w:sz w:val="24"/>
          <w:szCs w:val="24"/>
          <w:lang w:eastAsia="en-GB"/>
        </w:rPr>
        <w:br/>
        <w:t>Résultat, ma fille aimait beaucoup s’entraîner à tracer les lettres et toujours, après avoir fini une ligne, elle me demandait « Maman, c’est laquelle la plus jolie ? » en me montrant son cahier. Elle était encore plus fière et heureuse quand j’écrivais « très bien » à côté d’une ligne particulièrement bien réalisée.  (Cette maman éduque sa fille à la maison et elle a jeté son stylo rouge à la poubelle. www.demotivateur.fr)</w:t>
      </w:r>
    </w:p>
    <w:p w:rsidR="000C3955" w:rsidRDefault="00A73B30" w:rsidP="00B437A7">
      <w:pPr>
        <w:rPr>
          <w:rFonts w:ascii="Palatino Linotype" w:hAnsi="Palatino Linotype"/>
        </w:rPr>
      </w:pPr>
      <w:r>
        <w:rPr>
          <w:rFonts w:ascii="Palatino Linotype" w:hAnsi="Palatino Linotype"/>
        </w:rPr>
        <w:t>SOURCES :</w:t>
      </w:r>
      <w:bookmarkStart w:id="0" w:name="_GoBack"/>
      <w:bookmarkEnd w:id="0"/>
    </w:p>
    <w:p w:rsidR="000C3955" w:rsidRPr="00160E58" w:rsidRDefault="000C3955" w:rsidP="00B437A7">
      <w:pPr>
        <w:rPr>
          <w:rFonts w:ascii="Palatino Linotype" w:hAnsi="Palatino Linotype"/>
          <w:sz w:val="20"/>
          <w:szCs w:val="20"/>
        </w:rPr>
      </w:pPr>
      <w:r w:rsidRPr="00160E58">
        <w:rPr>
          <w:rFonts w:ascii="Palatino Linotype" w:hAnsi="Palatino Linotype"/>
          <w:sz w:val="20"/>
          <w:szCs w:val="20"/>
        </w:rPr>
        <w:t>Emmanuelle Huver, Claude Springer (2011): L'évaluation en langues. Nouveaux enjeux et perspectives. Paris : Didier.</w:t>
      </w:r>
    </w:p>
    <w:p w:rsidR="000C3955" w:rsidRPr="00160E58" w:rsidRDefault="000C3955" w:rsidP="00B437A7">
      <w:pPr>
        <w:rPr>
          <w:rFonts w:ascii="Palatino Linotype" w:hAnsi="Palatino Linotype"/>
          <w:sz w:val="20"/>
          <w:szCs w:val="20"/>
        </w:rPr>
      </w:pPr>
      <w:r w:rsidRPr="00160E58">
        <w:rPr>
          <w:rFonts w:ascii="Palatino Linotype" w:hAnsi="Palatino Linotype"/>
          <w:sz w:val="20"/>
          <w:szCs w:val="20"/>
        </w:rPr>
        <w:t>Christine Tagliante (1991) : L'évaluation. Paris : CLE International.</w:t>
      </w:r>
    </w:p>
    <w:p w:rsidR="000C3955" w:rsidRPr="00160E58" w:rsidRDefault="000C3955" w:rsidP="00B437A7">
      <w:pPr>
        <w:rPr>
          <w:rFonts w:ascii="Palatino Linotype" w:hAnsi="Palatino Linotype"/>
          <w:sz w:val="20"/>
          <w:szCs w:val="20"/>
        </w:rPr>
      </w:pPr>
      <w:r w:rsidRPr="00160E58">
        <w:rPr>
          <w:rFonts w:ascii="Palatino Linotype" w:hAnsi="Palatino Linotype"/>
          <w:sz w:val="20"/>
          <w:szCs w:val="20"/>
        </w:rPr>
        <w:t>Christine Tagliante (2005) : L'évaluation et le Cadre européen commun. Paris : CLE International.</w:t>
      </w:r>
    </w:p>
    <w:p w:rsidR="006131B8" w:rsidRPr="00160E58" w:rsidRDefault="000C3955" w:rsidP="00B437A7">
      <w:pPr>
        <w:rPr>
          <w:rFonts w:ascii="Palatino Linotype" w:hAnsi="Palatino Linotype"/>
          <w:sz w:val="20"/>
          <w:szCs w:val="20"/>
        </w:rPr>
      </w:pPr>
      <w:r w:rsidRPr="00160E58">
        <w:rPr>
          <w:rFonts w:ascii="Palatino Linotype" w:hAnsi="Palatino Linotype"/>
          <w:sz w:val="20"/>
          <w:szCs w:val="20"/>
        </w:rPr>
        <w:t>Claire Bourguignon (2014): Du contrôle des connaissances à l'evaluation de la compétence : Changement de paradigme et modification des représentations. Linguistica LIV.</w:t>
      </w:r>
    </w:p>
    <w:sectPr w:rsidR="006131B8" w:rsidRPr="00160E5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430" w:rsidRDefault="00250430" w:rsidP="00CD5A40">
      <w:pPr>
        <w:spacing w:after="0" w:line="240" w:lineRule="auto"/>
      </w:pPr>
      <w:r>
        <w:separator/>
      </w:r>
    </w:p>
  </w:endnote>
  <w:endnote w:type="continuationSeparator" w:id="0">
    <w:p w:rsidR="00250430" w:rsidRDefault="00250430" w:rsidP="00CD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 BLANCA">
    <w:panose1 w:val="02000000000000000000"/>
    <w:charset w:val="00"/>
    <w:family w:val="auto"/>
    <w:pitch w:val="variable"/>
    <w:sig w:usb0="8000002F" w:usb1="0000000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430" w:rsidRDefault="00250430" w:rsidP="00CD5A40">
      <w:pPr>
        <w:spacing w:after="0" w:line="240" w:lineRule="auto"/>
      </w:pPr>
      <w:r>
        <w:separator/>
      </w:r>
    </w:p>
  </w:footnote>
  <w:footnote w:type="continuationSeparator" w:id="0">
    <w:p w:rsidR="00250430" w:rsidRDefault="00250430" w:rsidP="00CD5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40" w:rsidRPr="00CD5A40" w:rsidRDefault="00CD5A40">
    <w:pPr>
      <w:pStyle w:val="Glava"/>
      <w:rPr>
        <w:rFonts w:ascii="Palatino Linotype" w:hAnsi="Palatino Linotype"/>
        <w:b/>
        <w:sz w:val="20"/>
        <w:szCs w:val="20"/>
      </w:rPr>
    </w:pPr>
    <w:r w:rsidRPr="00CD5A40">
      <w:rPr>
        <w:rFonts w:ascii="Palatino Linotype" w:hAnsi="Palatino Linotype"/>
        <w:b/>
        <w:sz w:val="20"/>
        <w:szCs w:val="20"/>
      </w:rPr>
      <w:t>Conférence SDUF – APFA, Ljubljana, septembre 2018                  Quand j'entends évaluer, je …</w:t>
    </w:r>
  </w:p>
  <w:p w:rsidR="00CD5A40" w:rsidRDefault="00CD5A4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803AF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06F3AAE"/>
    <w:multiLevelType w:val="singleLevel"/>
    <w:tmpl w:val="FAE27008"/>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684B5075"/>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11"/>
    <w:rsid w:val="00004A89"/>
    <w:rsid w:val="00011935"/>
    <w:rsid w:val="00013A6F"/>
    <w:rsid w:val="000C3955"/>
    <w:rsid w:val="00160E58"/>
    <w:rsid w:val="00250430"/>
    <w:rsid w:val="0027723A"/>
    <w:rsid w:val="002867F2"/>
    <w:rsid w:val="00381C5A"/>
    <w:rsid w:val="003F2CC6"/>
    <w:rsid w:val="003F4351"/>
    <w:rsid w:val="00461AD0"/>
    <w:rsid w:val="00500B64"/>
    <w:rsid w:val="005E1BC4"/>
    <w:rsid w:val="006131B8"/>
    <w:rsid w:val="00631215"/>
    <w:rsid w:val="006A3162"/>
    <w:rsid w:val="006B31AC"/>
    <w:rsid w:val="008F2661"/>
    <w:rsid w:val="0093767C"/>
    <w:rsid w:val="00A73B30"/>
    <w:rsid w:val="00A971FE"/>
    <w:rsid w:val="00AD3381"/>
    <w:rsid w:val="00B022D0"/>
    <w:rsid w:val="00B437A7"/>
    <w:rsid w:val="00B7656D"/>
    <w:rsid w:val="00B83E11"/>
    <w:rsid w:val="00B96944"/>
    <w:rsid w:val="00BD7A65"/>
    <w:rsid w:val="00C51394"/>
    <w:rsid w:val="00C808EF"/>
    <w:rsid w:val="00CC4A53"/>
    <w:rsid w:val="00CD5A40"/>
    <w:rsid w:val="00D9636A"/>
    <w:rsid w:val="00D96A2B"/>
    <w:rsid w:val="00DC5B37"/>
    <w:rsid w:val="00DD630A"/>
    <w:rsid w:val="00EC0499"/>
    <w:rsid w:val="00F61DA2"/>
    <w:rsid w:val="00F95194"/>
    <w:rsid w:val="00F95A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F5FD2-49C9-4E03-ADB8-16CB870A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semiHidden/>
    <w:rsid w:val="00BD7A65"/>
    <w:pPr>
      <w:spacing w:after="0" w:line="240" w:lineRule="auto"/>
    </w:pPr>
    <w:rPr>
      <w:rFonts w:ascii="Courier New" w:eastAsia="Times New Roman" w:hAnsi="Courier New" w:cs="Times New Roman"/>
      <w:sz w:val="20"/>
      <w:szCs w:val="20"/>
      <w:lang w:val="en-GB"/>
    </w:rPr>
  </w:style>
  <w:style w:type="character" w:customStyle="1" w:styleId="GolobesediloZnak">
    <w:name w:val="Golo besedilo Znak"/>
    <w:basedOn w:val="Privzetapisavaodstavka"/>
    <w:link w:val="Golobesedilo"/>
    <w:semiHidden/>
    <w:rsid w:val="00BD7A65"/>
    <w:rPr>
      <w:rFonts w:ascii="Courier New" w:eastAsia="Times New Roman" w:hAnsi="Courier New" w:cs="Times New Roman"/>
      <w:sz w:val="20"/>
      <w:szCs w:val="20"/>
      <w:lang w:val="en-GB"/>
    </w:rPr>
  </w:style>
  <w:style w:type="table" w:styleId="Tabelamrea">
    <w:name w:val="Table Grid"/>
    <w:basedOn w:val="Navadnatabela"/>
    <w:uiPriority w:val="39"/>
    <w:rsid w:val="00CC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95A05"/>
    <w:pPr>
      <w:ind w:left="720"/>
      <w:contextualSpacing/>
    </w:pPr>
  </w:style>
  <w:style w:type="paragraph" w:styleId="Glava">
    <w:name w:val="header"/>
    <w:basedOn w:val="Navaden"/>
    <w:link w:val="GlavaZnak"/>
    <w:uiPriority w:val="99"/>
    <w:unhideWhenUsed/>
    <w:rsid w:val="00CD5A40"/>
    <w:pPr>
      <w:tabs>
        <w:tab w:val="center" w:pos="4536"/>
        <w:tab w:val="right" w:pos="9072"/>
      </w:tabs>
      <w:spacing w:after="0" w:line="240" w:lineRule="auto"/>
    </w:pPr>
  </w:style>
  <w:style w:type="character" w:customStyle="1" w:styleId="GlavaZnak">
    <w:name w:val="Glava Znak"/>
    <w:basedOn w:val="Privzetapisavaodstavka"/>
    <w:link w:val="Glava"/>
    <w:uiPriority w:val="99"/>
    <w:rsid w:val="00CD5A40"/>
  </w:style>
  <w:style w:type="paragraph" w:styleId="Noga">
    <w:name w:val="footer"/>
    <w:basedOn w:val="Navaden"/>
    <w:link w:val="NogaZnak"/>
    <w:uiPriority w:val="99"/>
    <w:unhideWhenUsed/>
    <w:rsid w:val="00CD5A40"/>
    <w:pPr>
      <w:tabs>
        <w:tab w:val="center" w:pos="4536"/>
        <w:tab w:val="right" w:pos="9072"/>
      </w:tabs>
      <w:spacing w:after="0" w:line="240" w:lineRule="auto"/>
    </w:pPr>
  </w:style>
  <w:style w:type="character" w:customStyle="1" w:styleId="NogaZnak">
    <w:name w:val="Noga Znak"/>
    <w:basedOn w:val="Privzetapisavaodstavka"/>
    <w:link w:val="Noga"/>
    <w:uiPriority w:val="99"/>
    <w:rsid w:val="00CD5A40"/>
  </w:style>
  <w:style w:type="paragraph" w:styleId="Besedilooblaka">
    <w:name w:val="Balloon Text"/>
    <w:basedOn w:val="Navaden"/>
    <w:link w:val="BesedilooblakaZnak"/>
    <w:uiPriority w:val="99"/>
    <w:semiHidden/>
    <w:unhideWhenUsed/>
    <w:rsid w:val="006131B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31B8"/>
    <w:rPr>
      <w:rFonts w:ascii="Segoe UI" w:hAnsi="Segoe UI" w:cs="Segoe UI"/>
      <w:sz w:val="18"/>
      <w:szCs w:val="18"/>
    </w:rPr>
  </w:style>
  <w:style w:type="character" w:customStyle="1" w:styleId="Caractresdenotedebasdepage">
    <w:name w:val="Caractères de note de bas de page"/>
    <w:rsid w:val="006131B8"/>
    <w:rPr>
      <w:vertAlign w:val="superscript"/>
    </w:rPr>
  </w:style>
  <w:style w:type="paragraph" w:styleId="Sprotnaopomba-besedilo">
    <w:name w:val="footnote text"/>
    <w:basedOn w:val="Navaden"/>
    <w:link w:val="Sprotnaopomba-besediloZnak"/>
    <w:rsid w:val="006131B8"/>
    <w:pPr>
      <w:suppressAutoHyphens/>
      <w:spacing w:after="0" w:line="240" w:lineRule="auto"/>
    </w:pPr>
    <w:rPr>
      <w:rFonts w:ascii="Times New Roman" w:eastAsia="Times New Roman" w:hAnsi="Times New Roman" w:cs="Times New Roman"/>
      <w:sz w:val="20"/>
      <w:szCs w:val="24"/>
      <w:lang w:val="fr-FR" w:eastAsia="ar-SA"/>
    </w:rPr>
  </w:style>
  <w:style w:type="character" w:customStyle="1" w:styleId="Sprotnaopomba-besediloZnak">
    <w:name w:val="Sprotna opomba - besedilo Znak"/>
    <w:basedOn w:val="Privzetapisavaodstavka"/>
    <w:link w:val="Sprotnaopomba-besedilo"/>
    <w:rsid w:val="006131B8"/>
    <w:rPr>
      <w:rFonts w:ascii="Times New Roman" w:eastAsia="Times New Roman" w:hAnsi="Times New Roman" w:cs="Times New Roman"/>
      <w:sz w:val="20"/>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57A1A5-9F73-4BBD-A9DC-885575CF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2021</Words>
  <Characters>11523</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rec</cp:lastModifiedBy>
  <cp:revision>14</cp:revision>
  <cp:lastPrinted>2018-09-26T19:36:00Z</cp:lastPrinted>
  <dcterms:created xsi:type="dcterms:W3CDTF">2018-09-26T10:59:00Z</dcterms:created>
  <dcterms:modified xsi:type="dcterms:W3CDTF">2018-10-08T07:41:00Z</dcterms:modified>
</cp:coreProperties>
</file>